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изменении размеров долей в праве собственности на квартиру</w:t>
      </w:r>
    </w:p>
    <w:p>
      <w:pPr>
        <w:keepNext/>
        <w:spacing w:before="0" w:after="200"/>
        <w:jc w:val="center"/>
      </w:pPr>
      <w:r>
        <w:rPr>
          <w:b/>
          <w:sz w:val="26"/>
        </w:rPr>
        <w:t>с учётом согласованного и осуществлённого вклада в неотделимые улучшения</w:t>
      </w:r>
    </w:p>
    <w:p>
      <w:pPr>
        <w:ind w:firstLine="283"/>
      </w:pPr>
      <w:r/>
      <w:r>
        <w:rPr>
          <w:i/>
          <w:color w:val="854D0E"/>
        </w:rPr>
        <w:t>город Бронницы</w:t>
      </w:r>
      <w:r/>
    </w:p>
    <w:p>
      <w:pPr>
        <w:ind w:firstLine="283"/>
      </w:pPr>
      <w:r/>
      <w:r>
        <w:rPr>
          <w:i/>
          <w:color w:val="854D0E"/>
        </w:rPr>
        <w:t>16 октября 2026 года</w:t>
      </w:r>
      <w:r/>
    </w:p>
    <w:p>
      <w:pPr>
        <w:ind w:firstLine="283"/>
      </w:pPr>
      <w:r/>
      <w:r>
        <w:rPr>
          <w:i/>
          <w:color w:val="854D0E"/>
        </w:rPr>
        <w:t>Березина Мария Сергеевна</w:t>
      </w:r>
      <w:r>
        <w:t xml:space="preserve">, </w:t>
      </w:r>
      <w:r>
        <w:rPr>
          <w:i/>
          <w:color w:val="854D0E"/>
        </w:rPr>
        <w:t>18 января 1985 года</w:t>
      </w:r>
      <w:r>
        <w:t xml:space="preserve"> рождения, паспорт </w:t>
      </w:r>
      <w:r>
        <w:rPr>
          <w:i/>
          <w:color w:val="854D0E"/>
        </w:rPr>
        <w:t>46 15 № 900191</w:t>
      </w:r>
      <w:r>
        <w:t xml:space="preserve">, проживающая по адресу: </w:t>
      </w:r>
      <w:r>
        <w:rPr>
          <w:i/>
          <w:color w:val="854D0E"/>
        </w:rPr>
        <w:t>Московская область, город Бронницы, улица Советская, дом 113, квартира 8</w:t>
      </w:r>
      <w:r>
        <w:t xml:space="preserve">, далее «Участник 1», и </w:t>
      </w:r>
      <w:r>
        <w:rPr>
          <w:i/>
          <w:color w:val="854D0E"/>
        </w:rPr>
        <w:t>Назаров Павел Игоревич</w:t>
      </w:r>
      <w:r>
        <w:t xml:space="preserve">, </w:t>
      </w:r>
      <w:r>
        <w:rPr>
          <w:i/>
          <w:color w:val="854D0E"/>
        </w:rPr>
        <w:t>22 февраля 1982 года</w:t>
      </w:r>
      <w:r>
        <w:t xml:space="preserve"> рождения, паспорт </w:t>
      </w:r>
      <w:r>
        <w:rPr>
          <w:i/>
          <w:color w:val="854D0E"/>
        </w:rPr>
        <w:t>46 12 № 900192</w:t>
      </w:r>
      <w:r>
        <w:t>, проживающий по тому же адресу, далее «Участник 2», являющиеся всеми участниками общей долевой собственности на указанную ниже квартиру, заключили настоящее соглашение. Каждый действует лично, является совершеннолетним и дееспособным.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КВАРТИРА И ДЕЙСТВУЮЩИЕ ПРАВА</w:t>
      </w:r>
    </w:p>
    <w:p>
      <w:pPr>
        <w:keepLines w:val="0"/>
        <w:tabs>
          <w:tab w:pos="907" w:val="left"/>
        </w:tabs>
        <w:ind w:left="907" w:hanging="624"/>
      </w:pPr>
      <w:r>
        <w:t>1.1.</w:t>
        <w:tab/>
      </w:r>
      <w:r>
        <w:t xml:space="preserve">Объект общей долевой собственности — квартира по адресу: </w:t>
      </w:r>
      <w:r>
        <w:rPr>
          <w:i/>
          <w:color w:val="854D0E"/>
        </w:rPr>
        <w:t>Московская область, город Бронницы, улица Советская, дом 113, квартира 8</w:t>
      </w:r>
      <w:r>
        <w:t xml:space="preserve">, кадастровый номер </w:t>
      </w:r>
      <w:r>
        <w:rPr>
          <w:i/>
          <w:color w:val="854D0E"/>
        </w:rPr>
        <w:t>50:62:0000000:91198</w:t>
      </w:r>
      <w:r>
        <w:t xml:space="preserve">. По актуальным сведениям ЕГРН общая площадь квартиры составляет </w:t>
      </w:r>
      <w:r>
        <w:rPr>
          <w:i/>
          <w:color w:val="854D0E"/>
        </w:rPr>
        <w:t>70,0</w:t>
      </w:r>
      <w:r>
        <w:t xml:space="preserve"> кв. м после завершённой и учтённой перепланировки с устройством антресоли. Квартира является одним самостоятельным жилым помещением; отдельных объектов или комнат в собственность соглашением не образуется. Стороны ознакомились с выпиской ЕГРН от </w:t>
      </w:r>
      <w:r>
        <w:rPr>
          <w:i/>
          <w:color w:val="854D0E"/>
        </w:rPr>
        <w:t>12 октября 2026 года</w:t>
      </w:r>
      <w:r>
        <w:t xml:space="preserve">. До работ общая площадь квартиры составляла </w:t>
      </w:r>
      <w:r>
        <w:rPr>
          <w:i/>
          <w:color w:val="854D0E"/>
        </w:rPr>
        <w:t>60,0</w:t>
      </w:r>
      <w:r>
        <w:t xml:space="preserve"> кв. м.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Участнику 1 и Участнику 2 сейчас принадлежит по </w:t>
      </w:r>
      <w:r>
        <w:rPr>
          <w:i/>
          <w:color w:val="854D0E"/>
        </w:rPr>
        <w:t>1/2</w:t>
      </w:r>
      <w:r>
        <w:t xml:space="preserve"> доле в праве собственности на всю квартиру. Права возникли по свидетельствам о праве на наследство по закону от </w:t>
      </w:r>
      <w:r>
        <w:rPr>
          <w:i/>
          <w:color w:val="854D0E"/>
        </w:rPr>
        <w:t>20 декабря 2018 года</w:t>
      </w:r>
      <w:r>
        <w:t xml:space="preserve"> и зарегистрированы в ЕГРН; иных сособственников нет. Изменения площади после перепланировки уже внесены в ЕГРН при сохранении прежних долей.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Каждый участник никогда не состоял в браке. Квартира не находится в ипотеке, под арестом или запретом; права не оспариваются, не отчуждены и не обещаны третьим лицам. Несовершеннолетних, подопечных и лиц, чьи имущественные права затрагиваются соглашением, среди правообладателей нет. Невыполненной обязанности оформить семейные доли после маткапитала нет.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СОГЛАСОВАННЫЕ УЛУЧШЕНИЯ И ДОКУМЕНТЫ О ВКЛАДЕ</w:t>
      </w:r>
    </w:p>
    <w:p>
      <w:pPr>
        <w:keepLines w:val="0"/>
        <w:tabs>
          <w:tab w:pos="907" w:val="left"/>
        </w:tabs>
        <w:ind w:left="907" w:hanging="624"/>
      </w:pPr>
      <w:r>
        <w:t>2.1.</w:t>
        <w:tab/>
      </w:r>
      <w:r>
        <w:t xml:space="preserve">По письменному соглашению всех сособственников от </w:t>
      </w:r>
      <w:r>
        <w:rPr>
          <w:i/>
          <w:color w:val="854D0E"/>
        </w:rPr>
        <w:t>10 марта 2026 года</w:t>
      </w:r>
      <w:r>
        <w:t xml:space="preserve"> Участник 1 за собственный счёт организовал и оплатил устройство стационарной антресоли с внутренней лестницей в существующей комнате квартиры. Участник 2 до начала работ согласился с проектом, порядком использования общего имущества во время работ и тем, что реальный вклад Участника 1 будет учтён последующим изменением долей по статье 245 ГК РФ. Обязанности Участника 2 возместить эти затраты деньгами стороны не устанавливали.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Площадь антресоли — </w:t>
      </w:r>
      <w:r>
        <w:rPr>
          <w:i/>
          <w:color w:val="854D0E"/>
        </w:rPr>
        <w:t>10,0</w:t>
      </w:r>
      <w:r>
        <w:t xml:space="preserve"> кв. м; площадь комнаты, в которой она сооружена, до работ — </w:t>
      </w:r>
      <w:r>
        <w:rPr>
          <w:i/>
          <w:color w:val="854D0E"/>
        </w:rPr>
        <w:t>30,0</w:t>
      </w:r>
      <w:r>
        <w:t xml:space="preserve"> кв. м. Высота этой комнаты до работ — </w:t>
      </w:r>
      <w:r>
        <w:rPr>
          <w:i/>
          <w:color w:val="854D0E"/>
        </w:rPr>
        <w:t>5,4</w:t>
      </w:r>
      <w:r>
        <w:t xml:space="preserve"> м. Антресоль находится в прежнем объёме квартиры; чердак, коридор общего пользования, соседнее помещение или другое общее имущество к квартире не присоединялись. Проёмы в межэтажном перекрытии, несущих стенах и внешних ограждающих конструкциях не устраивались; этажность и внешние габариты многоквартирного дома не изменились.</w:t>
      </w:r>
    </w:p>
    <w:p>
      <w:pPr>
        <w:keepLines w:val="0"/>
        <w:tabs>
          <w:tab w:pos="907" w:val="left"/>
        </w:tabs>
        <w:ind w:left="907" w:hanging="624"/>
      </w:pPr>
      <w:r>
        <w:t>2.3.</w:t>
        <w:tab/>
      </w:r>
      <w:r>
        <w:t>До начала работ получено необходимое решение уполномоченного органа о согласовании перепланировки на основании проекта. Проект содержит расчёты допустимых нагрузок и соблюдения санитарных, строительных и противопожарных требований. Работы выполнены в соответствии с согласованным проектом, приняты уполномоченной комиссией; оформлены акт о завершении перепланировки и технический план. Обновлённые характеристики квартиры уже учтены в ЕГРН. Подтверждающие документы входят в приложение к соглашению. Само согласие двух сособственников не заменяло требуемого административного согласования и приёмки.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 xml:space="preserve">Стационарная конструкция антресоли и лестницы увеличила полезную площадь квартиры. Согласно техническому заключению от </w:t>
      </w:r>
      <w:r>
        <w:rPr>
          <w:i/>
          <w:color w:val="854D0E"/>
        </w:rPr>
        <w:t>1 октября 2026 года</w:t>
      </w:r>
      <w:r>
        <w:t xml:space="preserve"> она не может быть отделена без ущерба квартире и не сводится к обычному текущему ремонту, мебели либо отделимому оборудованию. Выполнение работ и их характер подтверждаются проектом, актами работ, техническим заключением и документами до и после перепланировки.</w:t>
      </w:r>
    </w:p>
    <w:p>
      <w:pPr>
        <w:keepLines/>
        <w:tabs>
          <w:tab w:pos="907" w:val="left"/>
        </w:tabs>
        <w:ind w:left="907" w:hanging="624"/>
      </w:pPr>
      <w:r>
        <w:t>2.5.</w:t>
        <w:tab/>
      </w:r>
      <w:r>
        <w:t xml:space="preserve">Все затраты на указанные работы в размере </w:t>
      </w:r>
      <w:r>
        <w:rPr>
          <w:i/>
          <w:color w:val="854D0E"/>
        </w:rPr>
        <w:t>1 200 000</w:t>
      </w:r>
      <w:r>
        <w:t xml:space="preserve"> (</w:t>
      </w:r>
      <w:r>
        <w:rPr>
          <w:i/>
          <w:color w:val="854D0E"/>
        </w:rPr>
        <w:t>один миллион двести тысяч</w:t>
      </w:r>
      <w:r>
        <w:t xml:space="preserve">) рублей фактически понесены Участником 1 из собственных средств. Их состав и оплату стороны сверили по договору подряда от </w:t>
      </w:r>
      <w:r>
        <w:rPr>
          <w:i/>
          <w:color w:val="854D0E"/>
        </w:rPr>
        <w:t>20 марта 2026 года</w:t>
      </w:r>
      <w:r>
        <w:t>, смете, актам выполненных работ и банковским платёжным документам. Затраты Участника 2 на эти работы отсутствуют. Коммунальные платежи, обычное содержание квартиры, мебель и иные отделимые вещи в этот вклад не включаются.</w:t>
      </w:r>
    </w:p>
    <w:p>
      <w:pPr>
        <w:keepLines/>
        <w:tabs>
          <w:tab w:pos="907" w:val="left"/>
        </w:tabs>
        <w:ind w:left="907" w:hanging="624"/>
      </w:pPr>
      <w:r>
        <w:t>2.6.</w:t>
        <w:tab/>
      </w:r>
      <w:r>
        <w:t xml:space="preserve">Стороны ознакомились с отчётом об оценке от </w:t>
      </w:r>
      <w:r>
        <w:rPr>
          <w:i/>
          <w:color w:val="854D0E"/>
        </w:rPr>
        <w:t>1 октября 2026 года</w:t>
      </w:r>
      <w:r>
        <w:t xml:space="preserve">: на одну и ту же дату стоимость квартиры без результата указанных работ оценена в </w:t>
      </w:r>
      <w:r>
        <w:rPr>
          <w:i/>
          <w:color w:val="854D0E"/>
        </w:rPr>
        <w:t>6 000 000</w:t>
      </w:r>
      <w:r>
        <w:t xml:space="preserve"> рублей, с результатом работ — в </w:t>
      </w:r>
      <w:r>
        <w:rPr>
          <w:i/>
          <w:color w:val="854D0E"/>
        </w:rPr>
        <w:t>7 500 000</w:t>
      </w:r>
      <w:r>
        <w:t xml:space="preserve"> рублей. Увеличение стоимости оценивается в </w:t>
      </w:r>
      <w:r>
        <w:rPr>
          <w:i/>
          <w:color w:val="854D0E"/>
        </w:rPr>
        <w:t>1 500 000</w:t>
      </w:r>
      <w:r>
        <w:t xml:space="preserve"> рублей. Стоимость работ и увеличение стоимости квартиры различаются; их нельзя подменять друг другом. Эта оценка и технические документы используются для обоснования согласованного учёта реального вклада, а не как универсальная формула закона.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СОГЛАСОВАННЫЕ НОВЫЕ ДОЛИ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На основании пунктов 2 и 3 статьи 245 ГК РФ все участники согласны учесть подтверждённый вклад Участника 1 в неотделимые улучшения квартиры и изменить размеры существующих долей следующим образом:</w:t>
      </w:r>
    </w:p>
    <w:p>
      <w:pPr>
        <w:ind w:firstLine="283"/>
      </w:pPr>
      <w:r>
        <w:t xml:space="preserve">Участник 1 — </w:t>
      </w:r>
      <w:r>
        <w:rPr>
          <w:i/>
          <w:color w:val="854D0E"/>
        </w:rPr>
        <w:t>Березина Мария Сергеевна</w:t>
      </w:r>
      <w:r>
        <w:t xml:space="preserve">: вместо </w:t>
      </w:r>
      <w:r>
        <w:rPr>
          <w:i/>
          <w:color w:val="854D0E"/>
        </w:rPr>
        <w:t>1/2</w:t>
      </w:r>
      <w:r>
        <w:t xml:space="preserve"> установить </w:t>
      </w:r>
      <w:r>
        <w:rPr>
          <w:i/>
          <w:color w:val="854D0E"/>
        </w:rPr>
        <w:t>3/5</w:t>
      </w:r>
      <w:r>
        <w:t xml:space="preserve"> доли в праве собственности на всю квартиру.</w:t>
      </w:r>
    </w:p>
    <w:p>
      <w:pPr>
        <w:ind w:firstLine="283"/>
      </w:pPr>
      <w:r>
        <w:t xml:space="preserve">Участник 2 — </w:t>
      </w:r>
      <w:r>
        <w:rPr>
          <w:i/>
          <w:color w:val="854D0E"/>
        </w:rPr>
        <w:t>Назаров Павел Игоревич</w:t>
      </w:r>
      <w:r>
        <w:t xml:space="preserve">: вместо </w:t>
      </w:r>
      <w:r>
        <w:rPr>
          <w:i/>
          <w:color w:val="854D0E"/>
        </w:rPr>
        <w:t>1/2</w:t>
      </w:r>
      <w:r>
        <w:t xml:space="preserve"> установить </w:t>
      </w:r>
      <w:r>
        <w:rPr>
          <w:i/>
          <w:color w:val="854D0E"/>
        </w:rPr>
        <w:t>2/5</w:t>
      </w:r>
      <w:r>
        <w:t xml:space="preserve"> доли в праве собственности на всю квартиру.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Сумма новых долей составляет единицу: </w:t>
      </w:r>
      <w:r>
        <w:rPr>
          <w:i/>
          <w:color w:val="854D0E"/>
        </w:rPr>
        <w:t>3/5</w:t>
      </w:r>
      <w:r>
        <w:t xml:space="preserve"> + </w:t>
      </w:r>
      <w:r>
        <w:rPr>
          <w:i/>
          <w:color w:val="854D0E"/>
        </w:rPr>
        <w:t>2/5</w:t>
      </w:r>
      <w:r>
        <w:t xml:space="preserve"> = 1. Это согласованное распределение учитывает исходный равный вклад в стоимость общего имущества и увеличение стоимости за счёт работ Участника 1, подтверждённое документами раздела 2. Новые дроби не определяются автоматически делением суммы расходов на цену квартиры или отношением площадей. При другом фактическом вкладе и ином результате работ эти дроби без нового обоснования не применяются.</w:t>
      </w:r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Между участниками не установлены цена передачи уже существующей части доли или дарение. Участник 2 не получает денежной компенсации за уменьшение дроби; Участнику 1 не возмещаются деньгами согласованные затраты на улучшения, учтённые новым соотношением долей. Соглашение разрешает вопрос об этих конкретных работах и не погашает автоматически иные самостоятельные требования, если они возникнут.</w:t>
      </w:r>
    </w:p>
    <w:p>
      <w:pPr>
        <w:keepLines/>
        <w:tabs>
          <w:tab w:pos="907" w:val="left"/>
        </w:tabs>
        <w:ind w:left="907" w:hanging="624"/>
      </w:pPr>
      <w:r>
        <w:t>3.4.</w:t>
        <w:tab/>
      </w:r>
      <w:r>
        <w:t>Доли относятся к праву на всю квартиру. Соглашение не закрепляет комнаты в отдельную собственность, не является выделом в натуре и не изменяет автоматически порядок пользования помещениями между участниками.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ФОРМА, РЕГИСТРАЦИЯ И РАСХОДЫ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Стороны по своему соглашению выбрали нотариальное удостоверение настоящего соглашения в соответствии с подпунктом 2 пункта 2 статьи 163 ГК РФ и подписывают его при нотариальном удостоверении. Личные подписи без необходимого удостоверения не означают соблюдения избранной формы. Текст не содержит удостоверительной надписи нотариуса и не заменяет нотариального действия.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После нотариального удостоверения стороны обеспечивают подачу документов для внесения в ЕГРН изменений размеров обеих долей. В предусмотренном частью 2 статьи 42 Федерального закона № 218-ФЗ порядке заявление по нотариально удостоверенному соглашению может подать один из участников или нотариус. Каждая сторона предоставляет необходимые сведения и содействует устранению законно указанных причин приостановления.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Стороны после регистрации получают подтверждающие сведения ЕГРН и проверяют сохранение того же объекта, правильность имён и новых долей, а также их сумму. Подписание или удостоверение соглашения и приём документов регистратором не объявляются подтверждением уже внесённых новых долей.</w:t>
      </w:r>
    </w:p>
    <w:p>
      <w:pPr>
        <w:keepLines/>
        <w:tabs>
          <w:tab w:pos="907" w:val="left"/>
        </w:tabs>
        <w:ind w:left="907" w:hanging="624"/>
      </w:pPr>
      <w:r>
        <w:t>4.4.</w:t>
        <w:tab/>
      </w:r>
      <w:r>
        <w:t>Расходы на нотариальное удостоверение и регистрацию стороны несут поровну в согласованном между ними объёме с соблюдением установленных законом правил о плательщиках и льготах. Универсальная сумма пошлины или нотариального тарифа настоящим соглашением не устанавливается. Дополнительных кадастровых работ для скрытого узаконивания перепланировки соглашение не предусматривает: сведения о завершённых работах уже внесены.</w:t>
      </w:r>
    </w:p>
    <w:p>
      <w:pPr>
        <w:keepNext/>
        <w:spacing w:before="140"/>
      </w:pPr>
      <w:r>
        <w:rPr>
          <w:b/>
        </w:rPr>
        <w:t>5.</w:t>
        <w:tab/>
      </w:r>
      <w:r>
        <w:rPr>
          <w:b/>
        </w:rPr>
        <w:t>ОТВЕТСТВЕННОСТЬ И ОКОНЧАНИЕ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>Каждый участник подтверждает достоверность предоставленных им сведений и отвечает за их недостоверность и нарушение принятых обязательств в установленном законом порядке. Возникшие разногласия стороны стремятся разрешить переговорами; при недостижении согласия спор разрешается судом. Государственная регистрация новых размеров долей не гарантируется одним названием документа или наличием отчёта об оценке.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Изменения и расторжение соглашения оформляются с соблюдением необходимой формы и, если затрагивают зарегистрированные права, соответствующих регистрационных правил. Отсутствие подтверждённого вклада или законно выполненных улучшений не исправляется одной заменой чисел в настоящем тексте.</w:t>
      </w:r>
    </w:p>
    <w:p>
      <w:pPr>
        <w:keepLines w:val="0"/>
        <w:tabs>
          <w:tab w:pos="907" w:val="left"/>
        </w:tabs>
        <w:ind w:left="907" w:hanging="624"/>
      </w:pPr>
      <w:r>
        <w:t>5.3.</w:t>
        <w:tab/>
      </w:r>
      <w:r>
        <w:t xml:space="preserve">Приложения: документы о правах на квартиру и актуальные сведения ЕГРН; письменное соглашение сособственников от </w:t>
      </w:r>
      <w:r>
        <w:rPr>
          <w:i/>
          <w:color w:val="854D0E"/>
        </w:rPr>
        <w:t>10 марта 2026 года</w:t>
      </w:r>
      <w:r>
        <w:t xml:space="preserve">; согласованный проект и решение о согласовании перепланировки; акты выполненных работ и акт о завершении перепланировки; технический план и сведения об учёте изменённых характеристик; техническое заключение от </w:t>
      </w:r>
      <w:r>
        <w:rPr>
          <w:i/>
          <w:color w:val="854D0E"/>
        </w:rPr>
        <w:t>1 октября 2026 года</w:t>
      </w:r>
      <w:r>
        <w:t xml:space="preserve">; договор подряда, смета и платёжные документы; отчёт об оценке от </w:t>
      </w:r>
      <w:r>
        <w:rPr>
          <w:i/>
          <w:color w:val="854D0E"/>
        </w:rPr>
        <w:t>1 октября 2026 года</w:t>
      </w:r>
      <w:r>
        <w:t>. Стороны ознакомились с приложениями и согласны с их содержанием.</w:t>
      </w:r>
    </w:p>
    <w:p>
      <w:pPr>
        <w:keepLines/>
        <w:tabs>
          <w:tab w:pos="907" w:val="left"/>
        </w:tabs>
        <w:ind w:left="907" w:hanging="624"/>
      </w:pPr>
      <w:r>
        <w:t>5.4.</w:t>
        <w:tab/>
      </w:r>
      <w:r>
        <w:t>Соглашение составляется в трёх подлинных экземплярах: по одному для каждого участника и один для нотариального дела.</w:t>
      </w:r>
    </w:p>
    <w:p>
      <w:pPr>
        <w:keepNext/>
        <w:ind w:firstLine="283"/>
      </w:pPr>
      <w:r>
        <w:t>Участник 1: личная подпись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Березина Мария Сергеевна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Участник 2: личная подпись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Назаров Павел Игоревич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Изменение долей после согласованной и учтённой антресоли в квартире: все взрослые собственники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