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ДОГОВОР МЕНЫ ДОЛЕЙ В ДВУХ КВАРТИРАХ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Тула</w:t>
      </w:r>
      <w:r/>
    </w:p>
    <w:p>
      <w:pPr>
        <w:ind w:firstLine="283"/>
      </w:pPr>
      <w:r/>
      <w:r>
        <w:rPr>
          <w:i/>
          <w:color w:val="854D0E"/>
        </w:rPr>
        <w:t>20 октября 2026 года</w:t>
      </w:r>
      <w:r/>
    </w:p>
    <w:p>
      <w:pPr>
        <w:ind w:firstLine="283"/>
      </w:pPr>
      <w:r/>
      <w:r>
        <w:rPr>
          <w:i/>
          <w:color w:val="854D0E"/>
        </w:rPr>
        <w:t>Зайцев Дмитрий Олегович</w:t>
      </w:r>
      <w:r>
        <w:t xml:space="preserve">, дата рождения </w:t>
      </w:r>
      <w:r>
        <w:rPr>
          <w:i/>
          <w:color w:val="854D0E"/>
        </w:rPr>
        <w:t>12 апреля 1980 года</w:t>
      </w:r>
      <w:r>
        <w:t xml:space="preserve">, паспорт </w:t>
      </w:r>
      <w:r>
        <w:rPr>
          <w:i/>
          <w:color w:val="854D0E"/>
        </w:rPr>
        <w:t>45 25 121314, выдан 23 апреля 2025 года ГУ МВД России по г. Москве, код подразделения 770-001</w:t>
      </w:r>
      <w:r>
        <w:t xml:space="preserve">, адрес </w:t>
      </w:r>
      <w:r>
        <w:rPr>
          <w:i/>
          <w:color w:val="854D0E"/>
        </w:rPr>
        <w:t>г. Тула, ул. Металлургов, д. 7, кв. 31</w:t>
      </w:r>
      <w:r>
        <w:t xml:space="preserve">, именуемый «Первая сторона», и </w:t>
      </w:r>
      <w:r>
        <w:rPr>
          <w:i/>
          <w:color w:val="854D0E"/>
        </w:rPr>
        <w:t>Зайцев Роман Олегович</w:t>
      </w:r>
      <w:r>
        <w:t xml:space="preserve">, дата рождения </w:t>
      </w:r>
      <w:r>
        <w:rPr>
          <w:i/>
          <w:color w:val="854D0E"/>
        </w:rPr>
        <w:t>18 сентября 1984 года</w:t>
      </w:r>
      <w:r>
        <w:t xml:space="preserve">, паспорт </w:t>
      </w:r>
      <w:r>
        <w:rPr>
          <w:i/>
          <w:color w:val="854D0E"/>
        </w:rPr>
        <w:t>45 24 151617, выдан 30 сентября 2024 года ГУ МВД России по г. Москве, код подразделения 770-002</w:t>
      </w:r>
      <w:r>
        <w:t xml:space="preserve">, адрес </w:t>
      </w:r>
      <w:r>
        <w:rPr>
          <w:i/>
          <w:color w:val="854D0E"/>
        </w:rPr>
        <w:t>г. Тула, ул. Металлургов, д. 7, кв. 42</w:t>
      </w:r>
      <w:r>
        <w:t>, именуемый «Вторая сторона», договорились о следующем.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Исходные права и предмет обмена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 xml:space="preserve">Первая квартира: </w:t>
      </w:r>
      <w:r>
        <w:rPr>
          <w:i/>
          <w:color w:val="854D0E"/>
        </w:rPr>
        <w:t>г. Тула, ул. Металлургов, д. 7, кв. 31</w:t>
      </w:r>
      <w:r>
        <w:t xml:space="preserve">, кадастровый номер </w:t>
      </w:r>
      <w:r>
        <w:rPr>
          <w:i/>
          <w:color w:val="854D0E"/>
        </w:rPr>
        <w:t>71:30:040101:5631</w:t>
      </w:r>
      <w:r>
        <w:t xml:space="preserve">, общая площадь </w:t>
      </w:r>
      <w:r>
        <w:rPr>
          <w:i/>
          <w:color w:val="854D0E"/>
        </w:rPr>
        <w:t>48,2</w:t>
      </w:r>
      <w:r>
        <w:t xml:space="preserve"> кв. м. Каждой стороне принадлежит по 1/2 в праве собственности. Записи ЕГРН: Первой стороны — </w:t>
      </w:r>
      <w:r>
        <w:rPr>
          <w:i/>
          <w:color w:val="854D0E"/>
        </w:rPr>
        <w:t>71:30:040101:5631-71/001/2019-1 от 20 августа 2019 года</w:t>
      </w:r>
      <w:r>
        <w:t xml:space="preserve">; Второй стороны — </w:t>
      </w:r>
      <w:r>
        <w:rPr>
          <w:i/>
          <w:color w:val="854D0E"/>
        </w:rPr>
        <w:t>71:30:040101:5631-71/001/2019-2 от 20 августа 2019 года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Вторая квартира: </w:t>
      </w:r>
      <w:r>
        <w:rPr>
          <w:i/>
          <w:color w:val="854D0E"/>
        </w:rPr>
        <w:t>г. Тула, ул. Металлургов, д. 7, кв. 42</w:t>
      </w:r>
      <w:r>
        <w:t xml:space="preserve">, кадастровый номер </w:t>
      </w:r>
      <w:r>
        <w:rPr>
          <w:i/>
          <w:color w:val="854D0E"/>
        </w:rPr>
        <w:t>71:30:040101:5642</w:t>
      </w:r>
      <w:r>
        <w:t xml:space="preserve">, общая площадь </w:t>
      </w:r>
      <w:r>
        <w:rPr>
          <w:i/>
          <w:color w:val="854D0E"/>
        </w:rPr>
        <w:t>52,4</w:t>
      </w:r>
      <w:r>
        <w:t xml:space="preserve"> кв. м. Каждой стороне принадлежит по 1/2 в праве собственности. Записи ЕГРН: Первой стороны — </w:t>
      </w:r>
      <w:r>
        <w:rPr>
          <w:i/>
          <w:color w:val="854D0E"/>
        </w:rPr>
        <w:t>71:30:040101:5642-71/001/2019-1 от 20 августа 2019 года</w:t>
      </w:r>
      <w:r>
        <w:t xml:space="preserve">; Второй стороны — </w:t>
      </w:r>
      <w:r>
        <w:rPr>
          <w:i/>
          <w:color w:val="854D0E"/>
        </w:rPr>
        <w:t>71:30:040101:5642-71/001/2019-2 от 20 августа 2019 года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1.3.</w:t>
        <w:tab/>
      </w:r>
      <w:r>
        <w:t xml:space="preserve">Основания приобретения долей Первой стороной: свидетельства о праве на наследство по закону от </w:t>
      </w:r>
      <w:r>
        <w:rPr>
          <w:i/>
          <w:color w:val="854D0E"/>
        </w:rPr>
        <w:t>15 августа 2019 года</w:t>
      </w:r>
      <w:r>
        <w:t xml:space="preserve">, реестровые № </w:t>
      </w:r>
      <w:r>
        <w:rPr>
          <w:i/>
          <w:color w:val="854D0E"/>
        </w:rPr>
        <w:t>71/45-н/71-2019-1-101</w:t>
      </w:r>
      <w:r>
        <w:t xml:space="preserve"> и № </w:t>
      </w:r>
      <w:r>
        <w:rPr>
          <w:i/>
          <w:color w:val="854D0E"/>
        </w:rPr>
        <w:t>71/45-н/71-2019-1-102</w:t>
      </w:r>
      <w:r>
        <w:t xml:space="preserve">. Основания приобретения долей Второй стороной: свидетельства о праве на наследство по закону от </w:t>
      </w:r>
      <w:r>
        <w:rPr>
          <w:i/>
          <w:color w:val="854D0E"/>
        </w:rPr>
        <w:t>15 августа 2019 года</w:t>
      </w:r>
      <w:r>
        <w:t xml:space="preserve">, реестровые № </w:t>
      </w:r>
      <w:r>
        <w:rPr>
          <w:i/>
          <w:color w:val="854D0E"/>
        </w:rPr>
        <w:t>71/45-н/71-2019-1-103</w:t>
      </w:r>
      <w:r>
        <w:t xml:space="preserve"> и № </w:t>
      </w:r>
      <w:r>
        <w:rPr>
          <w:i/>
          <w:color w:val="854D0E"/>
        </w:rPr>
        <w:t>71/45-н/71-2019-1-104</w:t>
      </w:r>
      <w:r>
        <w:t>. Стороны сопоставили документы и актуальные сведения ЕГРН по обеим квартирам.</w:t>
      </w:r>
    </w:p>
    <w:p>
      <w:pPr>
        <w:keepLines/>
        <w:tabs>
          <w:tab w:pos="907" w:val="left"/>
        </w:tabs>
        <w:ind w:left="907" w:hanging="624"/>
      </w:pPr>
      <w:r>
        <w:t>1.4.</w:t>
        <w:tab/>
      </w:r>
      <w:r>
        <w:t>Первая сторона передаёт Второй стороне принадлежащую ей 1/2 долю первой квартиры; Вторая сторона передаёт Первой стороне принадлежащую ей 1/2 долю второй квартиры. Доли, которыми получатели уже владеют, не отчуждаются. После регистрации переходов Вторая сторона владеет всей первой квартирой, а Первая сторона — всей второй квартирой.</w:t>
      </w:r>
    </w:p>
    <w:p>
      <w:pPr>
        <w:keepLines/>
        <w:pageBreakBefore/>
        <w:tabs>
          <w:tab w:pos="709" w:val="left"/>
        </w:tabs>
        <w:ind w:left="709" w:hanging="425"/>
      </w:pPr>
      <w:r>
        <w:t>2.</w:t>
        <w:tab/>
      </w:r>
      <w:r>
        <w:t>Стоимость и отсутствие доплаты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Стоимость передаваемой доли первой квартиры Стороны согласовали в размере </w:t>
      </w:r>
      <w:r>
        <w:rPr>
          <w:i/>
          <w:color w:val="854D0E"/>
        </w:rPr>
        <w:t>2 000 000 (два миллиона)</w:t>
      </w:r>
      <w:r>
        <w:t xml:space="preserve"> рублей, передаваемой доли второй квартиры — </w:t>
      </w:r>
      <w:r>
        <w:rPr>
          <w:i/>
          <w:color w:val="854D0E"/>
        </w:rPr>
        <w:t>2 000 000 (два миллиона)</w:t>
      </w:r>
      <w:r>
        <w:t xml:space="preserve"> рублей. Стороны считают их равноценными; денежная доплата по этому договору не производится. Это согласование цены обмена, не отчёт оценщика и не расчёт налогов.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Права пользователей, ограничения и передача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>По условиям этой сделки в обеих квартирах отсутствуют лица, сохраняющие право пользования после обмена; отсутствуют известные Сторонам залог, арест, запрет и иные препятствующие переходам ограничения. Ни одна из передаваемых долей не принадлежит ребёнку или подопечному. Стороны являются всеми сособственниками обеих квартир; доли переходят лицам, уже участвующим в общей собственности соответствующего объекта. Все эти обстоятельства проверяются до удостоверения договора.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>Стороны согласуют у нотариуса подачу документов на оба перехода права. Каждое право на приобретаемую долю возникает после государственной регистрации в ЕГРН. Передача ключей, документов и фактическое освобождение квартир оформляются отдельными актами в течение пяти календарных дней после регистрации обоих переходов. В актах фиксируют состояние, известные недостатки и показания счётчиков.</w:t>
      </w:r>
    </w:p>
    <w:p>
      <w:pPr>
        <w:keepLines/>
        <w:tabs>
          <w:tab w:pos="907" w:val="left"/>
        </w:tabs>
        <w:ind w:left="907" w:hanging="624"/>
      </w:pPr>
      <w:r>
        <w:t>3.3.</w:t>
        <w:tab/>
      </w:r>
      <w:r>
        <w:t>До передачи каждой квартиры расходы по её содержанию Стороны несут по прежнему распределению между сособственниками; после передачи расходы по первой квартире несёт Вторая сторона, по второй — Первая сторона. Имущество и вещи, не названные в актах, этим договором отдельно не передаются.</w:t>
      </w:r>
    </w:p>
    <w:p>
      <w:pPr>
        <w:keepLines/>
        <w:pageBreakBefore/>
        <w:tabs>
          <w:tab w:pos="709" w:val="left"/>
        </w:tabs>
        <w:ind w:left="709" w:hanging="425"/>
      </w:pPr>
      <w:r>
        <w:t>4.</w:t>
        <w:tab/>
      </w:r>
      <w:r>
        <w:t>Согласованные действия и ответственность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При приостановлении или отказе в регистрации хотя бы одного перехода Стороны сообщают друг другу причину и представляют относящиеся к ним документы. Если устранить препятствие нельзя, они разрешают вопрос о дальнейшем исполнении, прекращении договора и необходимых обратных действиях в предусмотренном законом порядке. Этот договор не обещает автоматического аннулирования уже внесённой записи.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Нарушение обязательств влечёт предусмотренные законом последствия. Договор не устраняет прав третьих лиц и не заменяет документов на обе квартиры.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Расходы, сообщения и экземпляры</w:t>
      </w:r>
    </w:p>
    <w:p>
      <w:pPr>
        <w:keepLines/>
        <w:tabs>
          <w:tab w:pos="907" w:val="left"/>
        </w:tabs>
        <w:ind w:left="907" w:hanging="624"/>
      </w:pPr>
      <w:r>
        <w:t>5.1.</w:t>
        <w:tab/>
      </w:r>
      <w:r>
        <w:t>Расходы нотариального удостоверения Стороны несут поровну; каждый оплачивает регистрацию своего приобретаемого права. Ставки и суммы обязательных платежей проверяют по применимым правилам на дату обращения. Налоговые обязанности каждой Стороны определяются отдельно.</w:t>
      </w:r>
    </w:p>
    <w:p>
      <w:pPr>
        <w:keepLines/>
        <w:tabs>
          <w:tab w:pos="907" w:val="left"/>
        </w:tabs>
        <w:ind w:left="907" w:hanging="624"/>
      </w:pPr>
      <w:r>
        <w:t>5.2.</w:t>
        <w:tab/>
      </w:r>
      <w:r>
        <w:t xml:space="preserve">Сообщения направляются по указанным адресам с подтверждением отправки и содержания. Электронная почта для дополнительной связи: Первой стороны — </w:t>
      </w:r>
      <w:r>
        <w:rPr>
          <w:i/>
          <w:color w:val="854D0E"/>
        </w:rPr>
        <w:t>dmitry@example.test</w:t>
      </w:r>
      <w:r>
        <w:t xml:space="preserve">, Второй стороны — </w:t>
      </w:r>
      <w:r>
        <w:rPr>
          <w:i/>
          <w:color w:val="854D0E"/>
        </w:rPr>
        <w:t>roman@example.test</w:t>
      </w:r>
      <w:r>
        <w:t>. Изменения оформляются в надлежащей форме. Подлинники и экземпляры оформляются с нотариусом в необходимом количестве.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Первая сторона: ________________ / </w:t>
      </w:r>
      <w:r>
        <w:rPr>
          <w:i/>
          <w:color w:val="854D0E"/>
        </w:rPr>
        <w:t>Зайцев Дмитрий Олегович</w:t>
      </w:r>
      <w:r/>
    </w:p>
    <w:p>
      <w:pPr>
        <w:ind w:firstLine="283"/>
      </w:pPr>
      <w:r>
        <w:t xml:space="preserve">Вторая сторона: ________________ / </w:t>
      </w:r>
      <w:r>
        <w:rPr>
          <w:i/>
          <w:color w:val="854D0E"/>
        </w:rPr>
        <w:t>Зайцев Роман Олегович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равноценной мены наследственных половин двух квартир между братьями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