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КАРТОЧКА ИСХОДНЫХ СВЕДЕНИЙ</w:t>
        <w:br/>
        <w:t>ДЛЯ ПРОВЕРКИ СТАТУСА ГАРАЖА</w:t>
      </w:r>
    </w:p>
    <w:p>
      <w:pPr>
        <w:ind w:firstLine="283"/>
      </w:pPr>
      <w:r>
        <w:t xml:space="preserve">Вид объекта: </w:t>
      </w:r>
      <w:r>
        <w:rPr>
          <w:i/>
          <w:color w:val="854D0E"/>
        </w:rPr>
        <w:t>здание, по выписке ЕГРН от 2 октября 2026 года</w:t>
      </w:r>
      <w:r>
        <w:t>.</w:t>
      </w:r>
    </w:p>
    <w:p>
      <w:pPr>
        <w:ind w:firstLine="283"/>
      </w:pPr>
      <w:r>
        <w:t xml:space="preserve">Назначение: </w:t>
      </w:r>
      <w:r>
        <w:rPr>
          <w:i/>
          <w:color w:val="854D0E"/>
        </w:rPr>
        <w:t>нежилое, по выписке ЕГРН от 2 октября 2026 года</w:t>
      </w:r>
      <w:r>
        <w:t>.</w:t>
      </w:r>
    </w:p>
    <w:p>
      <w:pPr>
        <w:ind w:firstLine="283"/>
      </w:pPr>
      <w:r>
        <w:t xml:space="preserve">ВРИ объекта: </w:t>
      </w:r>
      <w:r>
        <w:rPr>
          <w:i/>
          <w:color w:val="854D0E"/>
        </w:rPr>
        <w:t>в изученной выписке ЕГРН отдельно не указан; требуется уточнение состава сведений и документов об объекте</w:t>
      </w:r>
      <w:r>
        <w:t>.</w:t>
      </w:r>
    </w:p>
    <w:p>
      <w:pPr>
        <w:ind w:firstLine="283"/>
      </w:pPr>
      <w:r>
        <w:t xml:space="preserve">ВРИ земли: </w:t>
      </w:r>
      <w:r>
        <w:rPr>
          <w:i/>
          <w:color w:val="854D0E"/>
        </w:rPr>
        <w:t>«Хранение автотранспорта», по выписке ЕГРН на участок от 2 октября 2026 года</w:t>
      </w:r>
      <w:r>
        <w:t>.</w:t>
      </w:r>
    </w:p>
    <w:p>
      <w:pPr>
        <w:ind w:firstLine="283"/>
      </w:pPr>
      <w:r>
        <w:t xml:space="preserve">Право на землю: </w:t>
      </w:r>
      <w:r>
        <w:rPr>
          <w:i/>
          <w:color w:val="854D0E"/>
        </w:rPr>
        <w:t>собственность владельца гаража, зарегистрированная в ЕГРН; общая собственность и аренда в условном случае отсутствуют</w:t>
      </w:r>
      <w:r>
        <w:t>.</w:t>
      </w:r>
    </w:p>
    <w:p>
      <w:pPr>
        <w:ind w:firstLine="283"/>
      </w:pPr>
      <w:r>
        <w:t xml:space="preserve">Желаемое использование: </w:t>
      </w:r>
      <w:r>
        <w:rPr>
          <w:i/>
          <w:color w:val="854D0E"/>
        </w:rPr>
        <w:t>переоборудовать гараж в помещение для постоянного проживания</w:t>
      </w:r>
      <w:r>
        <w:t>. Допустимость такого использования и необходимые процедуры не установлены; карточка фиксирует цель проверки.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исходных сведений для проверки статуса и назначения гаража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