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/>
        <w:ind w:firstLine="0"/>
      </w:pPr>
      <w:r>
        <w:t>УЧЕБНЫЙ ПРИМЕР. Частные лица, их квартиры, права на объекты, дела, документы, суммы и события вымышлены. Указание реального учреждения, улицы или дома не означает, что описанное дело, проживание, медицинская помощь либо иное событие имели место. Реквизиты для реальной подачи проверяют по обстоятельствам своего дела.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365"/>
        <w:gridCol w:w="4989"/>
      </w:tblGrid>
      <w:tr>
        <w:tc>
          <w:tcPr>
            <w:tcW w:type="dxa" w:w="4365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ind w:firstLine="0"/>
            </w:pPr>
          </w:p>
        </w:tc>
        <w:tc>
          <w:tcPr>
            <w:tcW w:type="dxa" w:w="4989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after="40" w:line="240" w:lineRule="auto"/>
              <w:ind w:firstLine="0"/>
            </w:pPr>
            <w:r>
              <w:rPr>
                <w:sz w:val="24"/>
              </w:rPr>
              <w:t xml:space="preserve">В </w:t>
            </w:r>
            <w:r>
              <w:rPr>
                <w:i/>
                <w:color w:val="854D0E"/>
                <w:sz w:val="24"/>
              </w:rPr>
              <w:t>Администрацию муниципального округа город Кировск Мурманской области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Для рассмотрения </w:t>
            </w:r>
            <w:r>
              <w:rPr>
                <w:i/>
                <w:color w:val="854D0E"/>
                <w:sz w:val="24"/>
              </w:rPr>
              <w:t>комитетом по управлению муниципальной собственностью, отделом градостроительства и развития городской среды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Адрес: </w:t>
            </w:r>
            <w:r>
              <w:rPr>
                <w:i/>
                <w:color w:val="854D0E"/>
                <w:sz w:val="24"/>
              </w:rPr>
              <w:t>184250, Мурманская область, г. Кировск, пр. Ленина, д. 16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От </w:t>
            </w:r>
            <w:r>
              <w:rPr>
                <w:i/>
                <w:color w:val="854D0E"/>
                <w:sz w:val="24"/>
              </w:rPr>
              <w:t>Иванова Ильи Сергеевича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Почтовый адрес для ответа: </w:t>
            </w:r>
            <w:r>
              <w:rPr>
                <w:i/>
                <w:color w:val="854D0E"/>
                <w:sz w:val="24"/>
              </w:rPr>
              <w:t>184250, Мурманская область, г. Кировск, проспект Ленина, д. 15, кв. 7</w:t>
            </w:r>
            <w:r>
              <w:rPr>
                <w:sz w:val="24"/>
              </w:rPr>
              <w:t xml:space="preserve"> (номер квартиры и проживание заявителя вымышлены)</w:t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Телефон для связи: </w:t>
            </w:r>
            <w:r>
              <w:rPr>
                <w:i/>
                <w:color w:val="854D0E"/>
                <w:sz w:val="24"/>
              </w:rPr>
              <w:t>8(800)302-85-56</w:t>
            </w:r>
            <w:r>
              <w:rPr>
                <w:sz w:val="24"/>
              </w:rPr>
            </w:r>
          </w:p>
        </w:tc>
      </w:tr>
    </w:tbl>
    <w:p>
      <w:pPr>
        <w:pStyle w:val="Title"/>
        <w:keepNext/>
        <w:spacing w:before="280" w:after="140"/>
        <w:jc w:val="center"/>
      </w:pPr>
      <w:r>
        <w:rPr>
          <w:b/>
          <w:sz w:val="30"/>
        </w:rPr>
        <w:t>ОБРАЩЕНИЕ</w:t>
      </w:r>
    </w:p>
    <w:p>
      <w:pPr>
        <w:keepNext/>
        <w:spacing w:before="0" w:after="200"/>
        <w:jc w:val="center"/>
      </w:pPr>
      <w:r>
        <w:rPr>
          <w:b/>
          <w:sz w:val="26"/>
        </w:rPr>
        <w:t>о применимом порядке до начала строительства конкретного объекта</w:t>
      </w:r>
    </w:p>
    <w:p>
      <w:pPr>
        <w:ind w:firstLine="283"/>
      </w:pPr>
      <w:r>
        <w:t>До начала работ прошу разъяснить, какой разрешительный или уведомительный порядок применяется к планируемому объекту по следующим характеристикам.</w:t>
      </w:r>
    </w:p>
    <w:p>
      <w:pPr>
        <w:ind w:firstLine="283"/>
      </w:pPr>
      <w:r>
        <w:t xml:space="preserve">Участок: кадастровый номер </w:t>
      </w:r>
      <w:r>
        <w:rPr>
          <w:i/>
          <w:color w:val="854D0E"/>
        </w:rPr>
        <w:t>51:17:0000000:900002</w:t>
      </w:r>
      <w:r>
        <w:t xml:space="preserve"> (вымышленные реквизиты учебного примера), местоположение </w:t>
      </w:r>
      <w:r>
        <w:rPr>
          <w:i/>
          <w:color w:val="854D0E"/>
        </w:rPr>
        <w:t>Мурманская область, муниципальный округ город Кировск</w:t>
      </w:r>
      <w:r>
        <w:t xml:space="preserve">, условный участок </w:t>
      </w:r>
      <w:r>
        <w:rPr>
          <w:i/>
          <w:color w:val="854D0E"/>
        </w:rPr>
        <w:t>«Учебный-2»</w:t>
      </w:r>
      <w:r>
        <w:t xml:space="preserve">, показанный на приложенной схеме, право заявителя собственность, условная выписка ЕГРН от </w:t>
      </w:r>
      <w:r>
        <w:rPr>
          <w:i/>
          <w:color w:val="854D0E"/>
        </w:rPr>
        <w:t>1 октября 2026 года</w:t>
      </w:r>
      <w:r>
        <w:t xml:space="preserve"> № </w:t>
      </w:r>
      <w:r>
        <w:rPr>
          <w:i/>
          <w:color w:val="854D0E"/>
        </w:rPr>
        <w:t>УЧ-2</w:t>
      </w:r>
      <w:r>
        <w:t>, ВРИ для индивидуального жилищного строительства. Имеющиеся сведения о зоне и ограничениях: ВРИ указан в выписке; территориальная зона и полный состав ограничений ещё не установлены. Их применимость к месту размещения требуется выяснить по официальным сведениям; отсутствие ограничений не предполагается.</w:t>
      </w:r>
    </w:p>
    <w:p>
      <w:pPr>
        <w:ind w:firstLine="283"/>
      </w:pPr>
      <w:r>
        <w:t>Вид работ: создание новой отдельно стоящей бани; подготовительные и строительные работы не начаты.</w:t>
      </w:r>
    </w:p>
    <w:p>
      <w:pPr>
        <w:ind w:firstLine="283"/>
      </w:pPr>
      <w:r>
        <w:t xml:space="preserve">Назначение и использование объекта: баня для личных нужд собственника, без коммерческого использования и проживания. Размеры и параметры: длина </w:t>
      </w:r>
      <w:r>
        <w:rPr>
          <w:i/>
          <w:color w:val="854D0E"/>
        </w:rPr>
        <w:t>5 м</w:t>
      </w:r>
      <w:r>
        <w:t xml:space="preserve">, ширина </w:t>
      </w:r>
      <w:r>
        <w:rPr>
          <w:i/>
          <w:color w:val="854D0E"/>
        </w:rPr>
        <w:t>4 м</w:t>
      </w:r>
      <w:r>
        <w:t xml:space="preserve">, высота </w:t>
      </w:r>
      <w:r>
        <w:rPr>
          <w:i/>
          <w:color w:val="854D0E"/>
        </w:rPr>
        <w:t>2,8 м</w:t>
      </w:r>
      <w:r>
        <w:t xml:space="preserve">, </w:t>
      </w:r>
      <w:r>
        <w:rPr>
          <w:i/>
          <w:color w:val="854D0E"/>
        </w:rPr>
        <w:t>один этаж</w:t>
      </w:r>
      <w:r>
        <w:t>, подвала нет.</w:t>
      </w:r>
    </w:p>
    <w:p>
      <w:pPr>
        <w:ind w:firstLine="283"/>
      </w:pPr>
      <w:r>
        <w:t xml:space="preserve">Конструкция: деревянные сборные элементы на отдельных опорах без заглублённого ленточного фундамента. Узлы предполагаются разъёмными; возможность перемещения без несоразмерного ущерба требует технического подтверждения. Заключения о капитальности нет. Связь с основным объектом: баня для личных нужд семьи при существующем индивидуальном доме, отдельно от дома, без общей стены и фундамента. Самостоятельность назначения и наличие законного основания считать объект вспомогательным прошу оценить по описанным характеристикам, а не по названию. Размещение: предварительное место в глубине участка за главным фасадом дома: от стены до соседней границы </w:t>
      </w:r>
      <w:r>
        <w:rPr>
          <w:i/>
          <w:color w:val="854D0E"/>
        </w:rPr>
        <w:t>3,5 м</w:t>
      </w:r>
      <w:r>
        <w:t xml:space="preserve">, свес </w:t>
      </w:r>
      <w:r>
        <w:rPr>
          <w:i/>
          <w:color w:val="854D0E"/>
        </w:rPr>
        <w:t>0,4 м</w:t>
      </w:r>
      <w:r>
        <w:t xml:space="preserve">, до ближайшего жилого дома </w:t>
      </w:r>
      <w:r>
        <w:rPr>
          <w:i/>
          <w:color w:val="854D0E"/>
        </w:rPr>
        <w:t>9 м</w:t>
      </w:r>
      <w:r>
        <w:t>; схема прилагается. Эти расстояния описывают проект, а не подтверждают соблюдение всех норм.</w:t>
      </w:r>
    </w:p>
    <w:p>
      <w:pPr>
        <w:ind w:firstLine="283"/>
      </w:pPr>
      <w:r>
        <w:t>Прошу по представленным характеристикам пояснить:</w:t>
      </w:r>
    </w:p>
    <w:p>
      <w:pPr>
        <w:keepLines/>
        <w:tabs>
          <w:tab w:pos="709" w:val="left"/>
        </w:tabs>
        <w:ind w:left="709" w:hanging="425"/>
      </w:pPr>
      <w:r>
        <w:t>1.</w:t>
        <w:tab/>
      </w:r>
      <w:r>
        <w:t>Требуется ли разрешение на строительство либо к объекту применим уведомительный порядок? Если имеется основание освобождения от разрешения и/или уведомлений, прошу назвать конкретную норму и все относящиеся к выбранному основанию условия.</w:t>
      </w:r>
    </w:p>
    <w:p>
      <w:pPr>
        <w:keepLines/>
        <w:tabs>
          <w:tab w:pos="709" w:val="left"/>
        </w:tabs>
        <w:ind w:left="709" w:hanging="425"/>
      </w:pPr>
      <w:r>
        <w:t>2.</w:t>
        <w:tab/>
      </w:r>
      <w:r>
        <w:t>Какие существенные характеристики нужно дополнительно подтвердить для выбора процедуры, если имеющихся сведений недостаточно? Я не прошу считать объект некапитальным лишь по слову «разборный» или по его названию.</w:t>
      </w:r>
    </w:p>
    <w:p>
      <w:pPr>
        <w:keepLines/>
        <w:tabs>
          <w:tab w:pos="709" w:val="left"/>
        </w:tabs>
        <w:ind w:left="709" w:hanging="425"/>
      </w:pPr>
      <w:r>
        <w:t>3.</w:t>
        <w:tab/>
      </w:r>
      <w:r>
        <w:t>В какой компетентный орган и с каким предусмотренным действующим порядком обращением нужно обращаться до начала работ, если процедура обязательна?</w:t>
      </w:r>
    </w:p>
    <w:p>
      <w:pPr>
        <w:keepLines/>
        <w:tabs>
          <w:tab w:pos="709" w:val="left"/>
        </w:tabs>
        <w:ind w:left="709" w:hanging="425"/>
      </w:pPr>
      <w:r>
        <w:t>4.</w:t>
        <w:tab/>
      </w:r>
      <w:r>
        <w:t>Какие самостоятельные требования к участку и размещению сохраняются независимо от освобождения от разрешения или уведомлений и где получить относящиеся к конкретному участку официальные сведения?</w:t>
      </w:r>
    </w:p>
    <w:p>
      <w:pPr>
        <w:ind w:firstLine="283"/>
      </w:pPr>
      <w:r>
        <w:t>Прошу направить ответ со ссылками на действующие нормы по указанному почтовому адресу. Вопрос касается выбора процедуры для будущих работ, а не наличия ранее выданного разрешения.</w:t>
      </w:r>
    </w:p>
    <w:p>
      <w:pPr>
        <w:ind w:firstLine="283"/>
      </w:pPr>
      <w:r>
        <w:t>Это информационное обращение не является уведомлением о планируемом строительстве или заявлением о выдаче разрешения. Полученный ответ сам по себе не подтверждает допустимость размещения и не гарантирует государственную регистрацию объекта.</w:t>
      </w:r>
    </w:p>
    <w:p>
      <w:pPr>
        <w:keepNext/>
        <w:spacing w:before="140"/>
      </w:pPr>
      <w:r>
        <w:rPr>
          <w:b/>
        </w:rPr>
        <w:t>Приложения:</w:t>
      </w:r>
    </w:p>
    <w:p>
      <w:pPr>
        <w:keepLines/>
        <w:tabs>
          <w:tab w:pos="709" w:val="left"/>
        </w:tabs>
        <w:ind w:left="709" w:hanging="425"/>
      </w:pPr>
      <w:r>
        <w:t>1.</w:t>
        <w:tab/>
      </w:r>
      <w:r>
        <w:t xml:space="preserve">Копия условной выписки ЕГРН от </w:t>
      </w:r>
      <w:r>
        <w:rPr>
          <w:i/>
          <w:color w:val="854D0E"/>
        </w:rPr>
        <w:t>1 октября 2026 года</w:t>
      </w:r>
      <w:r>
        <w:t xml:space="preserve"> № </w:t>
      </w:r>
      <w:r>
        <w:rPr>
          <w:i/>
          <w:color w:val="854D0E"/>
        </w:rPr>
        <w:t>УЧ-2</w:t>
      </w:r>
      <w:r>
        <w:t>; сведения о зоне и полном составе ограничений пока не получены, это прямо указано в обращении.</w:t>
      </w:r>
    </w:p>
    <w:p>
      <w:pPr>
        <w:keepLines/>
        <w:tabs>
          <w:tab w:pos="709" w:val="left"/>
        </w:tabs>
        <w:ind w:left="709" w:hanging="425"/>
      </w:pPr>
      <w:r>
        <w:t>2.</w:t>
        <w:tab/>
      </w:r>
      <w:r>
        <w:t xml:space="preserve">Предварительная схема от </w:t>
      </w:r>
      <w:r>
        <w:rPr>
          <w:i/>
          <w:color w:val="854D0E"/>
        </w:rPr>
        <w:t>18 октября 2026 года</w:t>
      </w:r>
      <w:r>
        <w:t xml:space="preserve"> с размерами, отступами и свесами.</w:t>
      </w:r>
    </w:p>
    <w:p>
      <w:pPr>
        <w:keepNext/>
        <w:keepLines/>
        <w:tabs>
          <w:tab w:pos="709" w:val="left"/>
        </w:tabs>
        <w:ind w:left="709" w:hanging="425"/>
      </w:pPr>
      <w:r>
        <w:t>3.</w:t>
        <w:tab/>
      </w:r>
      <w:r>
        <w:t xml:space="preserve">Описание разъёмных узлов, опор и назначения бани от </w:t>
      </w:r>
      <w:r>
        <w:rPr>
          <w:i/>
          <w:color w:val="854D0E"/>
        </w:rPr>
        <w:t>18 октября 2026 года</w:t>
      </w:r>
      <w:r>
        <w:t>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118"/>
        <w:gridCol w:w="6236"/>
      </w:tblGrid>
      <w:tr>
        <w:tc>
          <w:tcPr>
            <w:tcW w:type="dxa" w:w="3118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spacing w:before="120"/>
              <w:ind w:firstLine="0"/>
            </w:pPr>
            <w:r>
              <w:t xml:space="preserve">Дата подписания: </w:t>
            </w:r>
            <w:r>
              <w:rPr>
                <w:i/>
                <w:color w:val="854D0E"/>
              </w:rPr>
              <w:t>20 октября 2026 года</w:t>
            </w:r>
            <w:r/>
          </w:p>
        </w:tc>
        <w:tc>
          <w:tcPr>
            <w:tcW w:type="dxa" w:w="6236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 w:val="0"/>
              <w:spacing w:before="120" w:after="0"/>
              <w:ind w:firstLine="0"/>
              <w:jc w:val="right"/>
            </w:pPr>
            <w:r>
              <w:t>Подпись заявителя: И. С. Иванов /</w:t>
            </w:r>
            <w:r>
              <w:rPr>
                <w:i/>
                <w:color w:val="854D0E"/>
              </w:rPr>
              <w:t>Иванов Илья Сергеевич</w:t>
            </w:r>
            <w:r>
              <w:t>/</w:t>
            </w:r>
          </w:p>
        </w:tc>
      </w:tr>
    </w:tbl>
    <w:p>
      <w:pPr>
        <w:keepNext w:val="0"/>
        <w:spacing w:before="240" w:after="0"/>
        <w:ind w:firstLine="0"/>
      </w:pPr>
      <w:r>
        <w:rPr>
          <w:color w:val="D03B5A"/>
          <w:sz w:val="18"/>
        </w:rPr>
        <w:t xml:space="preserve">Подготовлено </w:t>
      </w:r>
      <w:hyperlink r:id="rId10">
        <w:r>
          <w:rPr>
            <w:color w:val="D03B5A"/>
            <w:sz w:val="18"/>
            <w:u w:val="single"/>
          </w:rPr>
          <w:t>Law-Divorce.org</w:t>
        </w:r>
      </w:hyperlink>
      <w:r>
        <w:rPr>
          <w:color w:val="D03B5A"/>
          <w:sz w:val="18"/>
        </w:rPr>
        <w:t xml:space="preserve"> | 8(800)302-85-56 Бесплатная юридическая консультация</w:t>
      </w:r>
    </w:p>
    <w:sectPr w:rsidR="00FC693F" w:rsidRPr="0006063C" w:rsidSect="00034616">
      <w:headerReference w:type="default" r:id="rId9"/>
      <w:pgSz w:w="11906" w:h="16838"/>
      <w:pgMar w:top="1134" w:right="850" w:bottom="1134" w:left="1701" w:header="567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fldSimple w:instr="PAGE">
      <w:r>
        <w:rPr>
          <w:sz w:val="18"/>
        </w:rPr>
        <w:t>2</w:t>
      </w:r>
    </w:fldSimple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69" w:lineRule="auto" w:after="100"/>
    </w:pPr>
    <w:rPr>
      <w:rFonts w:ascii="Times New Roman" w:hAnsi="Times New Roman" w:eastAsia="Times New Roman" w:cs="Times New Roman"/>
      <w:color w:val="000000"/>
      <w:sz w:val="25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="Times New Roman" w:hAnsi="Times New Roman" w:eastAsia="Times New Roman" w:cs="Times New Roman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hyperlink" Target="https://law-divorce.or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Обращение о процедуре до строительства конкретной бани</dc:title>
  <dc:subject/>
  <dc:creator>Law-Divorce.org</dc:creator>
  <cp:keywords/>
  <dc:description>generated by python-docx</dc:description>
  <cp:lastModifiedBy>Law-Divorce.org</cp:lastModifiedBy>
  <cp:revision>1</cp:revision>
  <dcterms:created xsi:type="dcterms:W3CDTF">2013-12-23T23:15:00Z</dcterms:created>
  <dcterms:modified xsi:type="dcterms:W3CDTF">2013-12-23T23:15:00Z</dcterms:modified>
  <cp:category/>
</cp:coreProperties>
</file>