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СОГЛАШЕНИЕ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размещении и использовании ограждения между соседними земельными участками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, </w:t>
      </w:r>
      <w:r>
        <w:rPr>
          <w:i/>
          <w:color w:val="854D0E"/>
        </w:rPr>
        <w:t>5 октября 2026 года</w:t>
      </w:r>
      <w:r/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СТОРОНЫ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/>
      <w:r>
        <w:rPr>
          <w:i/>
          <w:color w:val="854D0E"/>
        </w:rPr>
        <w:t>Иванов Сергей Павлович</w:t>
      </w:r>
      <w:r>
        <w:t xml:space="preserve">, являющийся собственником земельного участка с кадастровым номером </w:t>
      </w:r>
      <w:r>
        <w:rPr>
          <w:i/>
          <w:color w:val="854D0E"/>
        </w:rPr>
        <w:t>50:28:9999999:999793</w:t>
      </w:r>
      <w:r>
        <w:t xml:space="preserve">, расположенного по адресу (местоположение): </w:t>
      </w:r>
      <w:r>
        <w:rPr>
          <w:i/>
          <w:color w:val="854D0E"/>
        </w:rPr>
        <w:t>Московская область, г. о. Домодедово, с. Растуново, ул. Заря, земельный участок № 793</w:t>
      </w:r>
      <w:r>
        <w:t>, именуемый далее «Сторона 1»,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/>
      <w:r>
        <w:rPr>
          <w:i/>
          <w:color w:val="854D0E"/>
        </w:rPr>
        <w:t>Кузнецов Андрей Викторович</w:t>
      </w:r>
      <w:r>
        <w:t xml:space="preserve">, являющийся собственником земельного участка с кадастровым номером </w:t>
      </w:r>
      <w:r>
        <w:rPr>
          <w:i/>
          <w:color w:val="854D0E"/>
        </w:rPr>
        <w:t>50:28:9999999:999794</w:t>
      </w:r>
      <w:r>
        <w:t xml:space="preserve">, расположенного по адресу (местоположение): </w:t>
      </w:r>
      <w:r>
        <w:rPr>
          <w:i/>
          <w:color w:val="854D0E"/>
        </w:rPr>
        <w:t>Московская область, г. о. Домодедово, с. Растуново, ул. Заря, земельный участок № 794</w:t>
      </w:r>
      <w:r>
        <w:t>, именуемый далее «Сторона 2»,</w:t>
      </w:r>
    </w:p>
    <w:p>
      <w:pPr>
        <w:ind w:firstLine="283"/>
      </w:pPr>
      <w:r>
        <w:t>совместно договорились о следующем.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РАЗМЕЩЕНИЕ ОГРАЖДЕНИЯ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>Стороны согласовали размещение ограждения на участке общей границы своих земельных участков, обозначенном на схеме в приложении № 1 к настоящему соглашению.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Протяжённость согласованного участка ограждения: </w:t>
      </w:r>
      <w:r>
        <w:rPr>
          <w:i/>
          <w:color w:val="854D0E"/>
        </w:rPr>
        <w:t>20 м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Параметры ограждения:</w:t>
      </w:r>
    </w:p>
    <w:p>
      <w:pPr>
        <w:ind w:firstLine="283"/>
      </w:pPr>
      <w:r>
        <w:t xml:space="preserve">высота: </w:t>
      </w:r>
      <w:r>
        <w:rPr>
          <w:i/>
          <w:color w:val="854D0E"/>
        </w:rPr>
        <w:t>1,5 м</w:t>
      </w:r>
      <w:r>
        <w:t>;</w:t>
      </w:r>
    </w:p>
    <w:p>
      <w:pPr>
        <w:ind w:firstLine="283"/>
      </w:pPr>
      <w:r>
        <w:t xml:space="preserve">материал: </w:t>
      </w:r>
      <w:r>
        <w:rPr>
          <w:i/>
          <w:color w:val="854D0E"/>
        </w:rPr>
        <w:t>оцинкованная металлическая сетка</w:t>
      </w:r>
      <w:r>
        <w:t>;</w:t>
      </w:r>
    </w:p>
    <w:p>
      <w:pPr>
        <w:ind w:firstLine="283"/>
      </w:pPr>
      <w:r>
        <w:t>тип и степень визуальной проницаемости: сетчатое, визуально проницаемое;</w:t>
      </w:r>
    </w:p>
    <w:p>
      <w:pPr>
        <w:ind w:firstLine="283"/>
      </w:pPr>
      <w:r>
        <w:t xml:space="preserve">полотно ограждения: сетка с ячейкой </w:t>
      </w:r>
      <w:r>
        <w:rPr>
          <w:i/>
          <w:color w:val="854D0E"/>
        </w:rPr>
        <w:t>50 × 50 мм</w:t>
      </w:r>
      <w:r>
        <w:t>;</w:t>
      </w:r>
    </w:p>
    <w:p>
      <w:pPr>
        <w:ind w:firstLine="283"/>
      </w:pPr>
      <w:r>
        <w:t xml:space="preserve">опоры: металлические стойки сечением </w:t>
      </w:r>
      <w:r>
        <w:rPr>
          <w:i/>
          <w:color w:val="854D0E"/>
        </w:rPr>
        <w:t>60 × 60 мм</w:t>
      </w:r>
      <w:r>
        <w:t>;</w:t>
      </w:r>
    </w:p>
    <w:p>
      <w:pPr>
        <w:ind w:firstLine="283"/>
      </w:pPr>
      <w:r>
        <w:t>основание / фундамент: точечные опоры без сплошного фундамента.</w:t>
      </w:r>
    </w:p>
    <w:p>
      <w:pPr>
        <w:keepLines/>
        <w:tabs>
          <w:tab w:pos="907" w:val="left"/>
        </w:tabs>
        <w:ind w:left="907" w:hanging="624"/>
      </w:pPr>
      <w:r>
        <w:t>2.4.</w:t>
        <w:tab/>
      </w:r>
      <w:r>
        <w:t>Относительно известной границы земельных участков элементы ограждения располагаются следующим образом:</w:t>
      </w:r>
    </w:p>
    <w:p>
      <w:pPr>
        <w:ind w:firstLine="283"/>
      </w:pPr>
      <w:r>
        <w:t>полотно: по линии А–Б общей границы согласно схеме;</w:t>
      </w:r>
    </w:p>
    <w:p>
      <w:pPr>
        <w:ind w:firstLine="283"/>
      </w:pPr>
      <w:r>
        <w:t>опоры: ось стоек на линии А–Б, половина ширины по каждую сторону;</w:t>
      </w:r>
    </w:p>
    <w:p>
      <w:pPr>
        <w:ind w:firstLine="283"/>
      </w:pPr>
      <w:r>
        <w:t xml:space="preserve">основание / фундамент: пятна точечных опор диаметром </w:t>
      </w:r>
      <w:r>
        <w:rPr>
          <w:i/>
          <w:color w:val="854D0E"/>
        </w:rPr>
        <w:t>0,20 м</w:t>
      </w:r>
      <w:r>
        <w:t xml:space="preserve"> центрированы на линии А–Б, по </w:t>
      </w:r>
      <w:r>
        <w:rPr>
          <w:i/>
          <w:color w:val="854D0E"/>
        </w:rPr>
        <w:t>0,10 м</w:t>
      </w:r>
      <w:r>
        <w:t xml:space="preserve"> на каждом участке.</w:t>
      </w:r>
    </w:p>
    <w:p>
      <w:pPr>
        <w:keepLines/>
        <w:tabs>
          <w:tab w:pos="907" w:val="left"/>
        </w:tabs>
        <w:ind w:left="907" w:hanging="624"/>
      </w:pPr>
      <w:r>
        <w:t>2.5.</w:t>
        <w:tab/>
      </w:r>
      <w:r>
        <w:t>Настоящее соглашение регулирует договорённости сторон об ограждении и само по себе не устанавливает и не изменяет местоположение кадастровой границы земельных участков.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РАСХОДЫ И МОНТАЖ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Работы по установке выполняет: </w:t>
      </w:r>
      <w:r>
        <w:rPr>
          <w:i/>
          <w:color w:val="854D0E"/>
        </w:rPr>
        <w:t>Иванов Сергей Павлович</w:t>
      </w:r>
      <w:r>
        <w:t xml:space="preserve"> лично, с </w:t>
      </w:r>
      <w:r>
        <w:rPr>
          <w:i/>
          <w:color w:val="854D0E"/>
        </w:rPr>
        <w:t>12</w:t>
      </w:r>
      <w:r>
        <w:t xml:space="preserve"> по </w:t>
      </w:r>
      <w:r>
        <w:rPr>
          <w:i/>
          <w:color w:val="854D0E"/>
        </w:rPr>
        <w:t>15 октября 2026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 xml:space="preserve">Стоимость материалов и работ оплачивается следующим образом: общая сумма </w:t>
      </w:r>
      <w:r>
        <w:rPr>
          <w:i/>
          <w:color w:val="854D0E"/>
        </w:rPr>
        <w:t>60 000</w:t>
      </w:r>
      <w:r>
        <w:t xml:space="preserve"> рублей; </w:t>
      </w:r>
      <w:r>
        <w:rPr>
          <w:i/>
          <w:color w:val="854D0E"/>
        </w:rPr>
        <w:t>Иванов Сергей Павлович</w:t>
      </w:r>
      <w:r>
        <w:t xml:space="preserve"> и </w:t>
      </w:r>
      <w:r>
        <w:rPr>
          <w:i/>
          <w:color w:val="854D0E"/>
        </w:rPr>
        <w:t>Кузнецов Андрей Викторович</w:t>
      </w:r>
      <w:r>
        <w:t xml:space="preserve"> оплачивают по </w:t>
      </w:r>
      <w:r>
        <w:rPr>
          <w:i/>
          <w:color w:val="854D0E"/>
        </w:rPr>
        <w:t>30 000</w:t>
      </w:r>
      <w:r>
        <w:t xml:space="preserve"> рублей каждый.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 xml:space="preserve">Срок и порядок внесения денежных средств: каждый оплачивает свою часть материалов по счетам продавца до </w:t>
      </w:r>
      <w:r>
        <w:rPr>
          <w:i/>
          <w:color w:val="854D0E"/>
        </w:rPr>
        <w:t>10 октября 2026 года</w:t>
      </w:r>
      <w:r>
        <w:t>; затраты подтверждаются чеками.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ПРИНАДЛЕЖНОСТЬ И ИСПОЛЬЗОВАНИЕ ОГРАЖДЕНИЯ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 xml:space="preserve">Стороны выбрали следующий вариант принадлежности нового ограждения, которое будет создано по соглашению: Стороны создают ограждение для себя как общее имущество. После создания оно будет принадлежать им на праве общей долевой собственности: доля </w:t>
      </w:r>
      <w:r>
        <w:rPr>
          <w:i/>
          <w:color w:val="854D0E"/>
        </w:rPr>
        <w:t>Иванова Сергея Павловича</w:t>
      </w:r>
      <w:r>
        <w:t xml:space="preserve"> — </w:t>
      </w:r>
      <w:r>
        <w:rPr>
          <w:i/>
          <w:color w:val="854D0E"/>
        </w:rPr>
        <w:t>1/2</w:t>
      </w:r>
      <w:r>
        <w:t xml:space="preserve">, доля </w:t>
      </w:r>
      <w:r>
        <w:rPr>
          <w:i/>
          <w:color w:val="854D0E"/>
        </w:rPr>
        <w:t>Кузнецова Андрея Викторовича</w:t>
      </w:r>
      <w:r>
        <w:t xml:space="preserve"> — </w:t>
      </w:r>
      <w:r>
        <w:rPr>
          <w:i/>
          <w:color w:val="854D0E"/>
        </w:rPr>
        <w:t>1/2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Текущее обслуживание и ремонт выполняются: обоими владельцами по предварительно согласованному плану.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Расходы на ремонт распределяются: поровну после письменного согласования объёма работ и сметы.</w:t>
      </w:r>
    </w:p>
    <w:p>
      <w:pPr>
        <w:keepLines/>
        <w:tabs>
          <w:tab w:pos="907" w:val="left"/>
        </w:tabs>
        <w:ind w:left="907" w:hanging="624"/>
      </w:pPr>
      <w:r>
        <w:t>4.4.</w:t>
        <w:tab/>
      </w:r>
      <w:r>
        <w:t>Решение о существенном изменении, замене или демонтаже ограждения принимается следующим образом: по отдельному письменному соглашению обоих владельцев.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ДОСТУП ДЛЯ УСТАНОВКИ И ОБСЛУЖИВАНИЯ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 xml:space="preserve">Временный доступ на соседний участок для установки или обслуживания согласуется заранее. Дата, время, участок доступа, срок уведомления и способ подтверждения согласия на конкретные работы: уведомление письменно не менее чем за </w:t>
      </w:r>
      <w:r>
        <w:rPr>
          <w:i/>
          <w:color w:val="854D0E"/>
        </w:rPr>
        <w:t>3 дня</w:t>
      </w:r>
      <w:r>
        <w:t xml:space="preserve">; дата, время и полоса доступа шириной до </w:t>
      </w:r>
      <w:r>
        <w:rPr>
          <w:i/>
          <w:color w:val="854D0E"/>
        </w:rPr>
        <w:t>0,5 м</w:t>
      </w:r>
      <w:r>
        <w:t xml:space="preserve"> вдоль А–Б указываются в отдельном письменном согласии владельца на каждые конкретные работы. Одно уведомление не разрешает несогласованный вход.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 xml:space="preserve">После выполнения работ повреждённые в связи с доступом покрытие, грунт, посадки или иное имущество восстанавливает: сторона, проводившая работы, в течение </w:t>
      </w:r>
      <w:r>
        <w:rPr>
          <w:i/>
          <w:color w:val="854D0E"/>
        </w:rPr>
        <w:t>5 дней</w:t>
      </w:r>
      <w:r>
        <w:t xml:space="preserve"> после их окончания.</w:t>
      </w:r>
    </w:p>
    <w:p>
      <w:pPr>
        <w:keepNext/>
        <w:spacing w:before="140"/>
      </w:pPr>
      <w:r>
        <w:rPr>
          <w:b/>
        </w:rPr>
        <w:t>6.</w:t>
        <w:tab/>
      </w:r>
      <w:r>
        <w:rPr>
          <w:b/>
        </w:rPr>
        <w:t>СОБЛЮДЕНИЕ ОБЯЗАТЕЛЬНЫХ ТРЕБОВАНИЙ</w:t>
      </w:r>
    </w:p>
    <w:p>
      <w:pPr>
        <w:keepLines/>
        <w:tabs>
          <w:tab w:pos="907" w:val="left"/>
        </w:tabs>
        <w:ind w:left="907" w:hanging="624"/>
      </w:pPr>
      <w:r>
        <w:t>6.1.</w:t>
        <w:tab/>
      </w:r>
      <w:r>
        <w:t>Стороны понимают, что настоящее соглашение не отменяет требования закона, градостроительных регламентов, правил благоустройства и иных обязательных требований, применимых к соответствующим земельным участкам.</w:t>
      </w:r>
    </w:p>
    <w:p>
      <w:pPr>
        <w:keepLines/>
        <w:tabs>
          <w:tab w:pos="907" w:val="left"/>
        </w:tabs>
        <w:ind w:left="907" w:hanging="624"/>
      </w:pPr>
      <w:r>
        <w:t>6.2.</w:t>
        <w:tab/>
      </w:r>
      <w:r>
        <w:t>Соглашение само по себе не предоставляет права занимать землю третьих лиц и не заменяет кадастровое согласование местоположения границы, когда такое согласование требуется по закону.</w:t>
      </w:r>
    </w:p>
    <w:p>
      <w:pPr>
        <w:keepNext/>
        <w:spacing w:before="140"/>
      </w:pPr>
      <w:r>
        <w:rPr>
          <w:b/>
        </w:rPr>
        <w:t>7.</w:t>
        <w:tab/>
      </w:r>
      <w:r>
        <w:rPr>
          <w:b/>
        </w:rPr>
        <w:t>ПРИЛОЖЕНИЯ</w:t>
      </w:r>
    </w:p>
    <w:p>
      <w:pPr>
        <w:keepLines/>
        <w:tabs>
          <w:tab w:pos="907" w:val="left"/>
        </w:tabs>
        <w:ind w:left="907" w:hanging="624"/>
      </w:pPr>
      <w:r>
        <w:t>7.1.</w:t>
        <w:tab/>
      </w:r>
      <w:r>
        <w:t>Приложение № 1 — схема расположения ограждения.</w:t>
      </w:r>
    </w:p>
    <w:p>
      <w:pPr>
        <w:keepLines/>
        <w:tabs>
          <w:tab w:pos="907" w:val="left"/>
        </w:tabs>
        <w:ind w:left="907" w:hanging="624"/>
      </w:pPr>
      <w:r>
        <w:t>7.2.</w:t>
        <w:tab/>
      </w:r>
      <w:r>
        <w:t xml:space="preserve">Иные приложения: смета материалов № </w:t>
      </w:r>
      <w:r>
        <w:rPr>
          <w:i/>
          <w:color w:val="854D0E"/>
        </w:rPr>
        <w:t>СМ-793/26</w:t>
      </w:r>
      <w:r>
        <w:t xml:space="preserve"> от </w:t>
      </w:r>
      <w:r>
        <w:rPr>
          <w:i/>
          <w:color w:val="854D0E"/>
        </w:rPr>
        <w:t>5 октября 2026 года</w:t>
      </w:r>
      <w:r>
        <w:t>.</w:t>
      </w:r>
    </w:p>
    <w:p>
      <w:pPr>
        <w:keepNext/>
        <w:spacing w:before="140"/>
      </w:pPr>
      <w:r>
        <w:rPr>
          <w:b/>
        </w:rPr>
        <w:t>8.</w:t>
        <w:tab/>
      </w:r>
      <w:r>
        <w:rPr>
          <w:b/>
        </w:rPr>
        <w:t>ЭКЗЕМПЛЯРЫ И ПОДПИСИ</w:t>
      </w:r>
    </w:p>
    <w:p>
      <w:pPr>
        <w:ind w:firstLine="283"/>
      </w:pPr>
      <w:r>
        <w:t>Соглашение составлено в количестве экземпляров, достаточном для каждой стороны.</w:t>
      </w:r>
    </w:p>
    <w:p>
      <w:pPr>
        <w:ind w:firstLine="283"/>
      </w:pPr>
      <w:r>
        <w:t xml:space="preserve">Количество экземпляров: </w:t>
      </w:r>
      <w:r>
        <w:rPr>
          <w:i/>
          <w:color w:val="854D0E"/>
        </w:rPr>
        <w:t>2</w:t>
      </w:r>
      <w:r>
        <w:t>, по одному каждой стороне.</w:t>
      </w:r>
    </w:p>
    <w:p>
      <w:pPr>
        <w:keepNext/>
        <w:ind w:firstLine="283"/>
      </w:pPr>
      <w:r>
        <w:t>Сторона 1: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Сторона 2: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 Андрей Викторович</w:t>
            </w:r>
            <w:r>
              <w:t xml:space="preserve"> /</w:t>
            </w:r>
          </w:p>
        </w:tc>
      </w:tr>
    </w:tbl>
    <w:p>
      <w:pPr>
        <w:keepNext/>
        <w:spacing w:before="140"/>
      </w:pPr>
      <w:r>
        <w:rPr>
          <w:b/>
        </w:rPr>
        <w:t>Приложение № 1. Схема расположения ограждения</w:t>
      </w:r>
    </w:p>
    <w:p>
      <w:pPr>
        <w:ind w:firstLine="283"/>
      </w:pPr>
      <w:r>
        <w:t xml:space="preserve">Описание схемы: общая граница обозначена точками А–Б, длина </w:t>
      </w:r>
      <w:r>
        <w:rPr>
          <w:i/>
          <w:color w:val="854D0E"/>
        </w:rPr>
        <w:t>20 м</w:t>
      </w:r>
      <w:r>
        <w:t xml:space="preserve">. Сетка и оси стоек расположены на А–Б; точечные опоры занимают по </w:t>
      </w:r>
      <w:r>
        <w:rPr>
          <w:i/>
          <w:color w:val="854D0E"/>
        </w:rPr>
        <w:t>0,10 м</w:t>
      </w:r>
      <w:r>
        <w:t xml:space="preserve"> с каждой стороны. Согласованы только эти элементы, кадастровая граница не изменяется.</w:t>
      </w:r>
    </w:p>
    <w:p>
      <w:pPr>
        <w:keepNext/>
        <w:ind w:firstLine="283"/>
      </w:pPr>
      <w:r>
        <w:t>Согласовали схему: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 Андрей Викторович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двух соседей о размещении, принадлежности и обслуживании нового сетчатого забора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