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Место составления: </w:t>
            </w:r>
            <w:r>
              <w:rPr>
                <w:i/>
                <w:color w:val="854D0E"/>
                <w:sz w:val="24"/>
              </w:rPr>
              <w:t>Московская область, 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Дата: </w:t>
            </w:r>
            <w:r>
              <w:rPr>
                <w:i/>
                <w:color w:val="854D0E"/>
                <w:sz w:val="24"/>
              </w:rPr>
              <w:t>4 октября 2026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Первый участник: </w:t>
            </w:r>
            <w:r>
              <w:rPr>
                <w:i/>
                <w:color w:val="854D0E"/>
                <w:sz w:val="24"/>
              </w:rPr>
              <w:t>Кузнецова Анна Павловна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паспорт 46 12 № 123456</w:t>
            </w:r>
            <w:r>
              <w:rPr>
                <w:sz w:val="24"/>
              </w:rPr>
              <w:t xml:space="preserve">, 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Южная, д. 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Второй участник: </w:t>
            </w:r>
            <w:r>
              <w:rPr>
                <w:i/>
                <w:color w:val="854D0E"/>
                <w:sz w:val="24"/>
              </w:rPr>
              <w:t>Кузнецов Пётр Иванович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паспорт 46 09 № 654321</w:t>
            </w:r>
            <w:r>
              <w:rPr>
                <w:sz w:val="24"/>
              </w:rPr>
              <w:t xml:space="preserve">, 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Южная, д. 7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об образовании земельных участков путём раздела</w:t>
      </w:r>
    </w:p>
    <w:p>
      <w:pPr>
        <w:ind w:firstLine="283"/>
      </w:pPr>
      <w:r>
        <w:t xml:space="preserve">Мы, </w:t>
      </w:r>
      <w:r>
        <w:rPr>
          <w:i/>
          <w:color w:val="854D0E"/>
        </w:rPr>
        <w:t>Кузнецова Анна Павловна</w:t>
      </w:r>
      <w:r>
        <w:t xml:space="preserve">, </w:t>
      </w:r>
      <w:r>
        <w:rPr>
          <w:i/>
          <w:color w:val="854D0E"/>
        </w:rPr>
        <w:t>паспорт 46 12 № 123456</w:t>
      </w:r>
      <w:r>
        <w:t xml:space="preserve">, адрес: </w:t>
      </w:r>
      <w:r>
        <w:rPr>
          <w:i/>
          <w:color w:val="854D0E"/>
        </w:rPr>
        <w:t>Московская область, г. Домодедово, ул. Южная, д. 5</w:t>
      </w:r>
      <w:r>
        <w:t xml:space="preserve"> и </w:t>
      </w:r>
      <w:r>
        <w:rPr>
          <w:i/>
          <w:color w:val="854D0E"/>
        </w:rPr>
        <w:t>Кузнецов Пётр Иванович</w:t>
      </w:r>
      <w:r>
        <w:t xml:space="preserve">, </w:t>
      </w:r>
      <w:r>
        <w:rPr>
          <w:i/>
          <w:color w:val="854D0E"/>
        </w:rPr>
        <w:t>паспорт 46 09 № 654321</w:t>
      </w:r>
      <w:r>
        <w:t xml:space="preserve">, адрес: </w:t>
      </w:r>
      <w:r>
        <w:rPr>
          <w:i/>
          <w:color w:val="854D0E"/>
        </w:rPr>
        <w:t>Московская область, г. Домодедово, ул. Южная, д. 7</w:t>
      </w:r>
      <w:r>
        <w:t>, договорились:</w:t>
      </w:r>
    </w:p>
    <w:p>
      <w:pPr>
        <w:keepLines w:val="0"/>
        <w:tabs>
          <w:tab w:pos="709" w:val="left"/>
        </w:tabs>
        <w:ind w:left="709" w:hanging="425"/>
      </w:pPr>
      <w:r>
        <w:t>1.</w:t>
        <w:tab/>
      </w:r>
      <w:r>
        <w:t xml:space="preserve">Исходный участок: кадастровый номер </w:t>
      </w:r>
      <w:r>
        <w:rPr>
          <w:i/>
          <w:color w:val="854D0E"/>
        </w:rPr>
        <w:t>50:28:0040101:100</w:t>
      </w:r>
      <w:r>
        <w:t xml:space="preserve">, местоположение </w:t>
      </w:r>
      <w:r>
        <w:rPr>
          <w:i/>
          <w:color w:val="854D0E"/>
        </w:rPr>
        <w:t>Московская область, г. Домодедово, садоводческое товарищество «Сосны», участок 14</w:t>
      </w:r>
      <w:r>
        <w:t xml:space="preserve">, площадь </w:t>
      </w:r>
      <w:r>
        <w:rPr>
          <w:i/>
          <w:color w:val="854D0E"/>
        </w:rPr>
        <w:t>1 000 кв. м</w:t>
      </w:r>
      <w:r>
        <w:t xml:space="preserve">, категория — </w:t>
      </w:r>
      <w:r>
        <w:rPr>
          <w:i/>
          <w:color w:val="854D0E"/>
        </w:rPr>
        <w:t>земли населённых пунктов</w:t>
      </w:r>
      <w:r>
        <w:t xml:space="preserve">, ВРИ — </w:t>
      </w:r>
      <w:r>
        <w:rPr>
          <w:i/>
          <w:color w:val="854D0E"/>
        </w:rPr>
        <w:t>для индивидуального жилищного строительства</w:t>
      </w:r>
      <w:r>
        <w:t xml:space="preserve">. Первый собственник, </w:t>
      </w:r>
      <w:r>
        <w:rPr>
          <w:i/>
          <w:color w:val="854D0E"/>
        </w:rPr>
        <w:t>Кузнецова Анна Павловна</w:t>
      </w:r>
      <w:r>
        <w:t xml:space="preserve">: </w:t>
      </w:r>
      <w:r>
        <w:rPr>
          <w:i/>
          <w:color w:val="854D0E"/>
        </w:rPr>
        <w:t>доля 1/2</w:t>
      </w:r>
      <w:r>
        <w:t xml:space="preserve">, основание — </w:t>
      </w:r>
      <w:r>
        <w:rPr>
          <w:i/>
          <w:color w:val="854D0E"/>
        </w:rPr>
        <w:t>свидетельство о праве на наследство по закону от 17 апреля 2020 года, серия 50 АА № 521004</w:t>
      </w:r>
      <w:r>
        <w:t xml:space="preserve">, </w:t>
      </w:r>
      <w:r>
        <w:rPr>
          <w:i/>
          <w:color w:val="854D0E"/>
        </w:rPr>
        <w:t>запись ЕГРН № 50:28:0040101:100-50/028/2020-1 от 30 апреля 2020 года</w:t>
      </w:r>
      <w:r>
        <w:t xml:space="preserve">; второй собственник, </w:t>
      </w:r>
      <w:r>
        <w:rPr>
          <w:i/>
          <w:color w:val="854D0E"/>
        </w:rPr>
        <w:t>Кузнецов Пётр Иванович</w:t>
      </w:r>
      <w:r>
        <w:t xml:space="preserve">: </w:t>
      </w:r>
      <w:r>
        <w:rPr>
          <w:i/>
          <w:color w:val="854D0E"/>
        </w:rPr>
        <w:t>доля 1/2</w:t>
      </w:r>
      <w:r>
        <w:t xml:space="preserve">, основание — </w:t>
      </w:r>
      <w:r>
        <w:rPr>
          <w:i/>
          <w:color w:val="854D0E"/>
        </w:rPr>
        <w:t>договор купли-продажи земельного участка от 12 ноября 2019 года</w:t>
      </w:r>
      <w:r>
        <w:t xml:space="preserve">, </w:t>
      </w:r>
      <w:r>
        <w:rPr>
          <w:i/>
          <w:color w:val="854D0E"/>
        </w:rPr>
        <w:t>запись ЕГРН № 50:28:0040101:100-50/028/2019-1 от 25 ноября 2019 года</w:t>
      </w:r>
      <w:r>
        <w:t>. Сумма долей равна единице.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Участок разделяется на два по </w:t>
      </w:r>
      <w:r>
        <w:rPr>
          <w:i/>
          <w:color w:val="854D0E"/>
        </w:rPr>
        <w:t>межевому плану от 1 сентября 2026 года</w:t>
      </w:r>
      <w:r>
        <w:t xml:space="preserve">, кадастровый инженер </w:t>
      </w:r>
      <w:r>
        <w:rPr>
          <w:i/>
          <w:color w:val="854D0E"/>
        </w:rPr>
        <w:t>Фирсов Михаил Павлович</w:t>
      </w:r>
      <w:r>
        <w:t xml:space="preserve">, </w:t>
      </w:r>
      <w:r>
        <w:rPr>
          <w:i/>
          <w:color w:val="854D0E"/>
        </w:rPr>
        <w:t>реестровый номер 50-11-213</w:t>
      </w:r>
      <w:r>
        <w:t xml:space="preserve">; план подготовлен для участка </w:t>
      </w:r>
      <w:r>
        <w:rPr>
          <w:i/>
          <w:color w:val="854D0E"/>
        </w:rPr>
        <w:t>50:28:0040101:100</w:t>
      </w:r>
      <w:r>
        <w:t xml:space="preserve">. Подписанное обеими сторонами графическое описание границ и доступа — </w:t>
      </w:r>
      <w:r>
        <w:rPr>
          <w:i/>
          <w:color w:val="854D0E"/>
        </w:rPr>
        <w:t>приложение № 1</w:t>
      </w:r>
      <w:r>
        <w:t>; характеристики совпадают с межевым планом.</w:t>
      </w:r>
    </w:p>
    <w:p>
      <w:pPr>
        <w:keepLines w:val="0"/>
        <w:tabs>
          <w:tab w:pos="709" w:val="left"/>
        </w:tabs>
        <w:ind w:left="709" w:hanging="425"/>
      </w:pPr>
      <w:r>
        <w:t>3.</w:t>
        <w:tab/>
      </w:r>
      <w:r>
        <w:t xml:space="preserve">Новый </w:t>
      </w:r>
      <w:r>
        <w:rPr>
          <w:i/>
          <w:color w:val="854D0E"/>
        </w:rPr>
        <w:t>участок А</w:t>
      </w:r>
      <w:r>
        <w:t xml:space="preserve">: площадь </w:t>
      </w:r>
      <w:r>
        <w:rPr>
          <w:i/>
          <w:color w:val="854D0E"/>
        </w:rPr>
        <w:t>600 кв. м</w:t>
      </w:r>
      <w:r>
        <w:t xml:space="preserve">, категория </w:t>
      </w:r>
      <w:r>
        <w:rPr>
          <w:i/>
          <w:color w:val="854D0E"/>
        </w:rPr>
        <w:t>земли населённых пунктов</w:t>
      </w:r>
      <w:r>
        <w:t xml:space="preserve">, ВРИ </w:t>
      </w:r>
      <w:r>
        <w:rPr>
          <w:i/>
          <w:color w:val="854D0E"/>
        </w:rPr>
        <w:t>для индивидуального жилищного строительства</w:t>
      </w:r>
      <w:r>
        <w:t xml:space="preserve">, непосредственный доступ с земель общего пользования по </w:t>
      </w:r>
      <w:r>
        <w:rPr>
          <w:i/>
          <w:color w:val="854D0E"/>
        </w:rPr>
        <w:t>южной границе через проезд шириной 3,5 м</w:t>
      </w:r>
      <w:r>
        <w:t xml:space="preserve"> к дороге общего пользования. Новый </w:t>
      </w:r>
      <w:r>
        <w:rPr>
          <w:i/>
          <w:color w:val="854D0E"/>
        </w:rPr>
        <w:t>участок Б</w:t>
      </w:r>
      <w:r>
        <w:t xml:space="preserve">: площадь </w:t>
      </w:r>
      <w:r>
        <w:rPr>
          <w:i/>
          <w:color w:val="854D0E"/>
        </w:rPr>
        <w:t>400 кв. м</w:t>
      </w:r>
      <w:r>
        <w:t xml:space="preserve">, категория </w:t>
      </w:r>
      <w:r>
        <w:rPr>
          <w:i/>
          <w:color w:val="854D0E"/>
        </w:rPr>
        <w:t>земли населённых пунктов</w:t>
      </w:r>
      <w:r>
        <w:t xml:space="preserve">, ВРИ </w:t>
      </w:r>
      <w:r>
        <w:rPr>
          <w:i/>
          <w:color w:val="854D0E"/>
        </w:rPr>
        <w:t>для индивидуального жилищного строительства</w:t>
      </w:r>
      <w:r>
        <w:t xml:space="preserve">, непосредственный доступ по </w:t>
      </w:r>
      <w:r>
        <w:rPr>
          <w:i/>
          <w:color w:val="854D0E"/>
        </w:rPr>
        <w:t>северной границе через проезд шириной 3,5 м</w:t>
      </w:r>
      <w:r>
        <w:t xml:space="preserve"> к дороге общего пользования. Координаты и границы — по межевому плану и приложению № 1. Обозначения не являются кадастровыми номерами.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На каждом новом участке сохраняются прежние доли: </w:t>
      </w:r>
      <w:r>
        <w:rPr>
          <w:i/>
          <w:color w:val="854D0E"/>
        </w:rPr>
        <w:t>Кузнецова Анна Павловна</w:t>
      </w:r>
      <w:r>
        <w:t xml:space="preserve"> — </w:t>
      </w:r>
      <w:r>
        <w:rPr>
          <w:i/>
          <w:color w:val="854D0E"/>
        </w:rPr>
        <w:t>1/2</w:t>
      </w:r>
      <w:r>
        <w:t xml:space="preserve">, </w:t>
      </w:r>
      <w:r>
        <w:rPr>
          <w:i/>
          <w:color w:val="854D0E"/>
        </w:rPr>
        <w:t>Кузнецов Пётр Иванович</w:t>
      </w:r>
      <w:r>
        <w:t xml:space="preserve"> — </w:t>
      </w:r>
      <w:r>
        <w:rPr>
          <w:i/>
          <w:color w:val="854D0E"/>
        </w:rPr>
        <w:t>1/2</w:t>
      </w:r>
      <w:r>
        <w:t>. Отчуждение, изменение долей или передача отдельного участка одному участнику этим соглашением не предусмотрены.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По </w:t>
      </w:r>
      <w:r>
        <w:rPr>
          <w:i/>
          <w:color w:val="854D0E"/>
        </w:rPr>
        <w:t>выпискам ЕГРН от 15 сентября 2026 года</w:t>
      </w:r>
      <w:r>
        <w:t xml:space="preserve"> </w:t>
      </w:r>
      <w:r>
        <w:rPr>
          <w:i/>
          <w:color w:val="854D0E"/>
        </w:rPr>
        <w:t>зарегистрированные ипотека, аренда, сервитуты и иные права третьих лиц отсутствуют</w:t>
      </w:r>
      <w:r>
        <w:t xml:space="preserve">. По результатам </w:t>
      </w:r>
      <w:r>
        <w:rPr>
          <w:i/>
          <w:color w:val="854D0E"/>
        </w:rPr>
        <w:t>совместного осмотра участка 19 сентября 2026 года</w:t>
      </w:r>
      <w:r>
        <w:t xml:space="preserve"> </w:t>
      </w:r>
      <w:r>
        <w:rPr>
          <w:i/>
          <w:color w:val="854D0E"/>
        </w:rPr>
        <w:t>стороны не выявили зданий, сооружений или фактических пользователей</w:t>
      </w:r>
      <w:r>
        <w:t xml:space="preserve">; </w:t>
      </w:r>
      <w:r>
        <w:rPr>
          <w:i/>
          <w:color w:val="854D0E"/>
        </w:rPr>
        <w:t>сторонам не известны незарегистрированные договоры пользования или права третьих лиц</w:t>
      </w:r>
      <w:r>
        <w:t>. Если сведения не соответствуют действительности, этот вариант не подписывается без переработки.</w:t>
      </w:r>
    </w:p>
    <w:p>
      <w:pPr>
        <w:keepLines w:val="0"/>
        <w:tabs>
          <w:tab w:pos="709" w:val="left"/>
        </w:tabs>
        <w:ind w:left="709" w:hanging="425"/>
      </w:pPr>
      <w:r>
        <w:t>6.</w:t>
        <w:tab/>
      </w:r>
      <w:r>
        <w:t xml:space="preserve">Расходы на кадастровые работы стороны оплачивают поровну: </w:t>
      </w:r>
      <w:r>
        <w:rPr>
          <w:i/>
          <w:color w:val="854D0E"/>
        </w:rPr>
        <w:t>Кузнецова Анна Павловна и Кузнецов Пётр Иванович — по 50% каждый</w:t>
      </w:r>
      <w:r>
        <w:t xml:space="preserve"> по </w:t>
      </w:r>
      <w:r>
        <w:rPr>
          <w:i/>
          <w:color w:val="854D0E"/>
        </w:rPr>
        <w:t>счёту инженера от 1 сентября 2026 года</w:t>
      </w:r>
      <w:r>
        <w:t xml:space="preserve">; </w:t>
      </w:r>
      <w:r>
        <w:rPr>
          <w:i/>
          <w:color w:val="854D0E"/>
        </w:rPr>
        <w:t>государственную пошлину за регистрацию принадлежащих ему прав каждый участник оплачивает самостоятельно</w:t>
      </w:r>
      <w:r>
        <w:t xml:space="preserve"> по своему платёжному документу. Стороны совместно подают документы на одновременный кадастровый учёт обоих новых участков и регистрацию прав обоих участников на оба участка либо поручают это представителю с надлежащими полномочиями. Различия с межевым планом устраняются до подачи.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Снятие исходного участка с учёта и прекращение прав оформляются одновременно с учётом и регистрацией прав на оба новых участка по закону. Подписи сами по себе эти действия не заменяют.</w:t>
      </w:r>
    </w:p>
    <w:p>
      <w:pPr>
        <w:keepNext/>
        <w:keepLines/>
        <w:tabs>
          <w:tab w:pos="709" w:val="left"/>
        </w:tabs>
        <w:ind w:left="709" w:hanging="425"/>
      </w:pPr>
      <w:r>
        <w:t>8.</w:t>
        <w:tab/>
      </w:r>
      <w:r>
        <w:t xml:space="preserve">Экземпляры: </w:t>
      </w:r>
      <w:r>
        <w:rPr>
          <w:i/>
          <w:color w:val="854D0E"/>
        </w:rPr>
        <w:t>2</w:t>
      </w:r>
      <w:r>
        <w:t xml:space="preserve">. Приложение № 1 </w:t>
      </w:r>
      <w:r>
        <w:rPr>
          <w:i/>
          <w:color w:val="854D0E"/>
        </w:rPr>
        <w:t>графическое описание границ и доступа к обоим участкам на 3 листах</w:t>
      </w:r>
      <w:r>
        <w:t xml:space="preserve"> — часть соглашения.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Кузнецова Анна Павловна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 Пётр Иванович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образовании земельных участков путём раздела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